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E160F" w14:textId="7498B9B7" w:rsidR="00970370" w:rsidRPr="00970370" w:rsidRDefault="001B4B36" w:rsidP="00970370">
      <w:pPr>
        <w:jc w:val="center"/>
        <w:rPr>
          <w:rFonts w:ascii="Cambria" w:hAnsi="Cambria"/>
          <w:b/>
          <w:lang w:val="en-US"/>
        </w:rPr>
      </w:pPr>
      <w:r>
        <w:rPr>
          <w:rFonts w:ascii="Cambria" w:hAnsi="Cambria"/>
          <w:b/>
          <w:lang w:val="en-US"/>
        </w:rPr>
        <w:t>Tsongkhapa on the Epistemology of the Conventional</w:t>
      </w:r>
    </w:p>
    <w:p w14:paraId="6429DD4C" w14:textId="351B9835" w:rsidR="00970370" w:rsidRPr="00970370" w:rsidRDefault="00970370" w:rsidP="00970370">
      <w:pPr>
        <w:jc w:val="center"/>
        <w:rPr>
          <w:rFonts w:ascii="Cambria" w:hAnsi="Cambria"/>
          <w:b/>
          <w:lang w:val="en-US"/>
        </w:rPr>
      </w:pPr>
    </w:p>
    <w:p w14:paraId="7EAAFCCC" w14:textId="30B9DC87" w:rsidR="00970370" w:rsidRPr="00970370" w:rsidRDefault="00970370" w:rsidP="00970370">
      <w:pPr>
        <w:jc w:val="center"/>
        <w:rPr>
          <w:rFonts w:ascii="Cambria" w:hAnsi="Cambria"/>
          <w:b/>
          <w:lang w:val="en-US"/>
        </w:rPr>
      </w:pPr>
      <w:r w:rsidRPr="00970370">
        <w:rPr>
          <w:rFonts w:ascii="Cambria" w:hAnsi="Cambria"/>
          <w:b/>
          <w:lang w:val="en-US"/>
        </w:rPr>
        <w:t xml:space="preserve">Jay </w:t>
      </w:r>
      <w:r>
        <w:rPr>
          <w:rFonts w:ascii="Cambria" w:hAnsi="Cambria"/>
          <w:b/>
          <w:lang w:val="en-US"/>
        </w:rPr>
        <w:t>L.</w:t>
      </w:r>
      <w:r w:rsidRPr="00970370">
        <w:rPr>
          <w:rFonts w:ascii="Cambria" w:hAnsi="Cambria"/>
          <w:b/>
          <w:lang w:val="en-US"/>
        </w:rPr>
        <w:t xml:space="preserve"> Garfield</w:t>
      </w:r>
    </w:p>
    <w:p w14:paraId="132F3B69" w14:textId="704CBFCA" w:rsidR="00970370" w:rsidRPr="00970370" w:rsidRDefault="00970370" w:rsidP="00970370">
      <w:pPr>
        <w:jc w:val="center"/>
        <w:rPr>
          <w:rFonts w:ascii="Cambria" w:hAnsi="Cambria"/>
          <w:b/>
          <w:lang w:val="en-US"/>
        </w:rPr>
      </w:pPr>
      <w:r w:rsidRPr="00970370">
        <w:rPr>
          <w:rFonts w:ascii="Cambria" w:hAnsi="Cambria"/>
          <w:b/>
          <w:lang w:val="en-US"/>
        </w:rPr>
        <w:t>Smith College</w:t>
      </w:r>
    </w:p>
    <w:p w14:paraId="4B6695DA" w14:textId="11611FB1" w:rsidR="00970370" w:rsidRDefault="00970370" w:rsidP="00970370">
      <w:pPr>
        <w:jc w:val="center"/>
        <w:rPr>
          <w:rFonts w:ascii="Cambria" w:hAnsi="Cambria"/>
          <w:b/>
          <w:lang w:val="en-US"/>
        </w:rPr>
      </w:pPr>
      <w:r w:rsidRPr="00970370">
        <w:rPr>
          <w:rFonts w:ascii="Cambria" w:hAnsi="Cambria"/>
          <w:b/>
          <w:lang w:val="en-US"/>
        </w:rPr>
        <w:t>Harvard Divinity School</w:t>
      </w:r>
    </w:p>
    <w:p w14:paraId="560996C7" w14:textId="7683C198" w:rsidR="00B57B3C" w:rsidRDefault="00B57B3C" w:rsidP="00970370">
      <w:pPr>
        <w:jc w:val="center"/>
        <w:rPr>
          <w:rFonts w:ascii="Cambria" w:hAnsi="Cambria"/>
          <w:b/>
          <w:lang w:val="en-US"/>
        </w:rPr>
      </w:pPr>
      <w:r>
        <w:rPr>
          <w:rFonts w:ascii="Cambria" w:hAnsi="Cambria"/>
          <w:b/>
          <w:lang w:val="en-US"/>
        </w:rPr>
        <w:t>University of Melbourne</w:t>
      </w:r>
    </w:p>
    <w:p w14:paraId="37A6CF11" w14:textId="0F6F9D96" w:rsidR="00B57B3C" w:rsidRPr="00970370" w:rsidRDefault="00B57B3C" w:rsidP="00970370">
      <w:pPr>
        <w:jc w:val="center"/>
        <w:rPr>
          <w:rFonts w:ascii="Cambria" w:hAnsi="Cambria"/>
          <w:b/>
          <w:lang w:val="en-US"/>
        </w:rPr>
      </w:pPr>
      <w:r>
        <w:rPr>
          <w:rFonts w:ascii="Cambria" w:hAnsi="Cambria"/>
          <w:b/>
          <w:lang w:val="en-US"/>
        </w:rPr>
        <w:t>Central Institute of Higher Tibetan Studies</w:t>
      </w:r>
    </w:p>
    <w:p w14:paraId="2BAB2F53" w14:textId="4F385533" w:rsidR="00970370" w:rsidRDefault="00970370" w:rsidP="00970370">
      <w:pPr>
        <w:rPr>
          <w:rFonts w:ascii="Cambria" w:hAnsi="Cambria"/>
          <w:lang w:val="en-US"/>
        </w:rPr>
      </w:pPr>
    </w:p>
    <w:p w14:paraId="66468BA5" w14:textId="77777777" w:rsidR="00B70987" w:rsidRDefault="00B70987" w:rsidP="00B70987">
      <w:pPr>
        <w:ind w:left="720" w:firstLine="720"/>
        <w:jc w:val="both"/>
        <w:rPr>
          <w:rFonts w:ascii="Cambria" w:eastAsia="Times" w:hAnsi="Cambria" w:cs="Times New Roman"/>
        </w:rPr>
      </w:pPr>
      <w:r>
        <w:rPr>
          <w:rFonts w:ascii="Cambria" w:hAnsi="Cambria"/>
        </w:rPr>
        <w:t>The Buddha’s teaching of the Dharma</w:t>
      </w:r>
    </w:p>
    <w:p w14:paraId="3B6836BF" w14:textId="77777777" w:rsidR="00B70987" w:rsidRDefault="00B70987" w:rsidP="00B70987">
      <w:pPr>
        <w:ind w:left="1440"/>
        <w:jc w:val="both"/>
        <w:rPr>
          <w:rFonts w:ascii="Cambria" w:hAnsi="Cambria"/>
        </w:rPr>
      </w:pPr>
      <w:r>
        <w:rPr>
          <w:rFonts w:ascii="Cambria" w:hAnsi="Cambria"/>
        </w:rPr>
        <w:t>Is based on two truths:</w:t>
      </w:r>
    </w:p>
    <w:p w14:paraId="28091641" w14:textId="77777777" w:rsidR="00B70987" w:rsidRDefault="00B70987" w:rsidP="00B70987">
      <w:pPr>
        <w:ind w:left="1440"/>
        <w:jc w:val="both"/>
        <w:rPr>
          <w:rFonts w:ascii="Cambria" w:hAnsi="Cambria"/>
        </w:rPr>
      </w:pPr>
      <w:r>
        <w:rPr>
          <w:rFonts w:ascii="Cambria" w:hAnsi="Cambria"/>
        </w:rPr>
        <w:t>A truth of worldly convention</w:t>
      </w:r>
    </w:p>
    <w:p w14:paraId="7FA77F6B" w14:textId="77777777" w:rsidR="00B70987" w:rsidRDefault="00B70987" w:rsidP="00B70987">
      <w:pPr>
        <w:ind w:left="1440"/>
        <w:jc w:val="both"/>
        <w:rPr>
          <w:rFonts w:ascii="Cambria" w:hAnsi="Cambria"/>
        </w:rPr>
      </w:pPr>
      <w:r>
        <w:rPr>
          <w:rFonts w:ascii="Cambria" w:hAnsi="Cambria"/>
        </w:rPr>
        <w:t>And an ultimate truth.</w:t>
      </w:r>
    </w:p>
    <w:p w14:paraId="57D03AD5" w14:textId="77777777" w:rsidR="00B70987" w:rsidRDefault="00B70987" w:rsidP="00B70987">
      <w:pPr>
        <w:ind w:left="1440"/>
        <w:jc w:val="both"/>
        <w:rPr>
          <w:rFonts w:ascii="Cambria" w:hAnsi="Cambria"/>
        </w:rPr>
      </w:pPr>
    </w:p>
    <w:p w14:paraId="6A6DED18" w14:textId="77777777" w:rsidR="00B70987" w:rsidRDefault="00B70987" w:rsidP="00B70987">
      <w:pPr>
        <w:ind w:left="720" w:firstLine="720"/>
        <w:jc w:val="both"/>
        <w:rPr>
          <w:rFonts w:ascii="Cambria" w:hAnsi="Cambria"/>
        </w:rPr>
      </w:pPr>
      <w:r>
        <w:rPr>
          <w:rFonts w:ascii="Cambria" w:hAnsi="Cambria"/>
        </w:rPr>
        <w:t xml:space="preserve">Those who do not understand </w:t>
      </w:r>
    </w:p>
    <w:p w14:paraId="162DAB41" w14:textId="77777777" w:rsidR="00B70987" w:rsidRDefault="00B70987" w:rsidP="00B70987">
      <w:pPr>
        <w:ind w:left="1440"/>
        <w:jc w:val="both"/>
        <w:rPr>
          <w:rFonts w:ascii="Cambria" w:hAnsi="Cambria"/>
        </w:rPr>
      </w:pPr>
      <w:r>
        <w:rPr>
          <w:rFonts w:ascii="Cambria" w:hAnsi="Cambria"/>
        </w:rPr>
        <w:t>The distinction between these two truths</w:t>
      </w:r>
    </w:p>
    <w:p w14:paraId="710FA7EA" w14:textId="77777777" w:rsidR="00B70987" w:rsidRDefault="00B70987" w:rsidP="00B70987">
      <w:pPr>
        <w:ind w:left="1440"/>
        <w:jc w:val="both"/>
        <w:rPr>
          <w:rFonts w:ascii="Cambria" w:hAnsi="Cambria"/>
        </w:rPr>
      </w:pPr>
      <w:r>
        <w:rPr>
          <w:rFonts w:ascii="Cambria" w:hAnsi="Cambria"/>
        </w:rPr>
        <w:t>Do not understand</w:t>
      </w:r>
    </w:p>
    <w:p w14:paraId="00A9AAE8" w14:textId="77777777" w:rsidR="00B70987" w:rsidRDefault="00B70987" w:rsidP="00B70987">
      <w:pPr>
        <w:ind w:left="1440"/>
        <w:jc w:val="both"/>
        <w:rPr>
          <w:rFonts w:ascii="Cambria" w:hAnsi="Cambria"/>
        </w:rPr>
      </w:pPr>
      <w:r>
        <w:rPr>
          <w:rFonts w:ascii="Cambria" w:hAnsi="Cambria"/>
        </w:rPr>
        <w:t>The Buddha’s profound teaching.</w:t>
      </w:r>
    </w:p>
    <w:p w14:paraId="080E332B" w14:textId="77777777" w:rsidR="00B70987" w:rsidRDefault="00B70987" w:rsidP="00B70987">
      <w:pPr>
        <w:ind w:left="1440"/>
        <w:jc w:val="both"/>
        <w:rPr>
          <w:rFonts w:ascii="Cambria" w:hAnsi="Cambria"/>
        </w:rPr>
      </w:pPr>
    </w:p>
    <w:p w14:paraId="23CDA488" w14:textId="77777777" w:rsidR="00B70987" w:rsidRDefault="00B70987" w:rsidP="00B70987">
      <w:pPr>
        <w:ind w:left="720" w:firstLine="720"/>
        <w:jc w:val="both"/>
        <w:rPr>
          <w:rFonts w:ascii="Cambria" w:hAnsi="Cambria"/>
        </w:rPr>
      </w:pPr>
      <w:r>
        <w:rPr>
          <w:rFonts w:ascii="Cambria" w:hAnsi="Cambria"/>
        </w:rPr>
        <w:t>Without depending on the conventional truth,</w:t>
      </w:r>
    </w:p>
    <w:p w14:paraId="232DC552" w14:textId="77777777" w:rsidR="00B70987" w:rsidRDefault="00B70987" w:rsidP="00B70987">
      <w:pPr>
        <w:ind w:left="1440"/>
        <w:jc w:val="both"/>
        <w:rPr>
          <w:rFonts w:ascii="Cambria" w:hAnsi="Cambria"/>
        </w:rPr>
      </w:pPr>
      <w:r>
        <w:rPr>
          <w:rFonts w:ascii="Cambria" w:hAnsi="Cambria"/>
        </w:rPr>
        <w:t>The meaning of the ultimate cannot be taught.</w:t>
      </w:r>
    </w:p>
    <w:p w14:paraId="2DF796B2" w14:textId="77777777" w:rsidR="00B70987" w:rsidRDefault="00B70987" w:rsidP="00B70987">
      <w:pPr>
        <w:ind w:left="1440"/>
        <w:jc w:val="both"/>
        <w:rPr>
          <w:rFonts w:ascii="Cambria" w:hAnsi="Cambria"/>
        </w:rPr>
      </w:pPr>
      <w:r>
        <w:rPr>
          <w:rFonts w:ascii="Cambria" w:hAnsi="Cambria"/>
        </w:rPr>
        <w:t>Without understanding the meaning of the ultimate,</w:t>
      </w:r>
    </w:p>
    <w:p w14:paraId="0E5CF9D4" w14:textId="1E93A4C5" w:rsidR="00B70987" w:rsidRPr="00B70987" w:rsidRDefault="00B70987" w:rsidP="00B70987">
      <w:pPr>
        <w:ind w:left="1440"/>
        <w:jc w:val="both"/>
        <w:rPr>
          <w:rFonts w:ascii="Cambria" w:hAnsi="Cambria"/>
        </w:rPr>
      </w:pPr>
      <w:r>
        <w:rPr>
          <w:rFonts w:ascii="Cambria" w:hAnsi="Cambria"/>
        </w:rPr>
        <w:t xml:space="preserve">Nirvana is not achieved. (Nāgārjuna, </w:t>
      </w:r>
      <w:r>
        <w:rPr>
          <w:rFonts w:ascii="Cambria" w:hAnsi="Cambria"/>
          <w:i/>
        </w:rPr>
        <w:t xml:space="preserve">Mūlamadhyamakakārikā </w:t>
      </w:r>
      <w:r>
        <w:rPr>
          <w:rFonts w:ascii="Cambria" w:hAnsi="Cambria"/>
        </w:rPr>
        <w:t>24.8-10)</w:t>
      </w:r>
    </w:p>
    <w:p w14:paraId="3F296AC1" w14:textId="2AC2B846" w:rsidR="00970370" w:rsidRDefault="00970370" w:rsidP="00970370">
      <w:pPr>
        <w:rPr>
          <w:rFonts w:ascii="Cambria" w:hAnsi="Cambria"/>
          <w:lang w:val="en-US"/>
        </w:rPr>
      </w:pPr>
    </w:p>
    <w:p w14:paraId="0B24211C" w14:textId="77777777" w:rsidR="00B70987" w:rsidRDefault="00B70987" w:rsidP="00970370">
      <w:pPr>
        <w:rPr>
          <w:rFonts w:ascii="Cambria" w:hAnsi="Cambria"/>
          <w:lang w:val="en-US"/>
        </w:rPr>
      </w:pPr>
    </w:p>
    <w:p w14:paraId="6D902DC2" w14:textId="5E8BAAFD" w:rsidR="00970370" w:rsidRDefault="001B4B36" w:rsidP="006027D1">
      <w:pPr>
        <w:spacing w:after="180" w:line="360" w:lineRule="auto"/>
        <w:ind w:firstLine="720"/>
        <w:rPr>
          <w:rFonts w:ascii="Cambria" w:hAnsi="Cambria"/>
          <w:lang w:val="en-US"/>
        </w:rPr>
      </w:pPr>
      <w:r>
        <w:rPr>
          <w:rFonts w:ascii="Cambria" w:hAnsi="Cambria"/>
          <w:lang w:val="en-US"/>
        </w:rPr>
        <w:t>How is knowledge possible</w:t>
      </w:r>
      <w:r w:rsidR="006F17A3">
        <w:rPr>
          <w:rFonts w:ascii="Cambria" w:hAnsi="Cambria"/>
          <w:lang w:val="en-US"/>
        </w:rPr>
        <w:t xml:space="preserve"> in the context of massive illusion</w:t>
      </w:r>
      <w:r>
        <w:rPr>
          <w:rFonts w:ascii="Cambria" w:hAnsi="Cambria"/>
          <w:lang w:val="en-US"/>
        </w:rPr>
        <w:t xml:space="preserve">? How </w:t>
      </w:r>
      <w:proofErr w:type="gramStart"/>
      <w:r>
        <w:rPr>
          <w:rFonts w:ascii="Cambria" w:hAnsi="Cambria"/>
          <w:lang w:val="en-US"/>
        </w:rPr>
        <w:t>can</w:t>
      </w:r>
      <w:r w:rsidR="006F17A3">
        <w:rPr>
          <w:rFonts w:ascii="Cambria" w:hAnsi="Cambria"/>
          <w:lang w:val="en-US"/>
        </w:rPr>
        <w:t xml:space="preserve"> we can</w:t>
      </w:r>
      <w:proofErr w:type="gramEnd"/>
      <w:r w:rsidR="006F17A3">
        <w:rPr>
          <w:rFonts w:ascii="Cambria" w:hAnsi="Cambria"/>
          <w:lang w:val="en-US"/>
        </w:rPr>
        <w:t xml:space="preserve"> make sense of the </w:t>
      </w:r>
      <w:r w:rsidR="006F17A3">
        <w:rPr>
          <w:rFonts w:ascii="Cambria" w:hAnsi="Cambria"/>
          <w:i/>
          <w:lang w:val="en-US"/>
        </w:rPr>
        <w:t xml:space="preserve">truth </w:t>
      </w:r>
      <w:r w:rsidR="006F17A3">
        <w:rPr>
          <w:rFonts w:ascii="Cambria" w:hAnsi="Cambria"/>
          <w:lang w:val="en-US"/>
        </w:rPr>
        <w:t xml:space="preserve">in conventional truth.  </w:t>
      </w:r>
      <w:r>
        <w:rPr>
          <w:rFonts w:ascii="Cambria" w:hAnsi="Cambria"/>
          <w:lang w:val="en-US"/>
        </w:rPr>
        <w:t>Answering</w:t>
      </w:r>
      <w:r w:rsidR="006F17A3">
        <w:rPr>
          <w:rFonts w:ascii="Cambria" w:hAnsi="Cambria"/>
          <w:lang w:val="en-US"/>
        </w:rPr>
        <w:t xml:space="preserve"> those questions</w:t>
      </w:r>
      <w:r>
        <w:rPr>
          <w:rFonts w:ascii="Cambria" w:hAnsi="Cambria"/>
          <w:lang w:val="en-US"/>
        </w:rPr>
        <w:t xml:space="preserve"> in a Tibetan context</w:t>
      </w:r>
      <w:r w:rsidR="006F17A3">
        <w:rPr>
          <w:rFonts w:ascii="Cambria" w:hAnsi="Cambria"/>
          <w:lang w:val="en-US"/>
        </w:rPr>
        <w:t xml:space="preserve"> requires us to ask how to read Candrakīrti</w:t>
      </w:r>
      <w:r>
        <w:rPr>
          <w:rFonts w:ascii="Cambria" w:hAnsi="Cambria"/>
          <w:lang w:val="en-US"/>
        </w:rPr>
        <w:t xml:space="preserve">, and that </w:t>
      </w:r>
      <w:proofErr w:type="gramStart"/>
      <w:r>
        <w:rPr>
          <w:rFonts w:ascii="Cambria" w:hAnsi="Cambria"/>
          <w:lang w:val="en-US"/>
        </w:rPr>
        <w:t>opens up</w:t>
      </w:r>
      <w:proofErr w:type="gramEnd"/>
      <w:r>
        <w:rPr>
          <w:rFonts w:ascii="Cambria" w:hAnsi="Cambria"/>
          <w:lang w:val="en-US"/>
        </w:rPr>
        <w:t xml:space="preserve"> many of the hermeneutical and epistemological debates that preoccupy Tibetan philosophers from the 11</w:t>
      </w:r>
      <w:r w:rsidRPr="001B4B36">
        <w:rPr>
          <w:rFonts w:ascii="Cambria" w:hAnsi="Cambria"/>
          <w:vertAlign w:val="superscript"/>
          <w:lang w:val="en-US"/>
        </w:rPr>
        <w:t>th</w:t>
      </w:r>
      <w:r>
        <w:rPr>
          <w:rFonts w:ascii="Cambria" w:hAnsi="Cambria"/>
          <w:lang w:val="en-US"/>
        </w:rPr>
        <w:t xml:space="preserve"> century to the present day</w:t>
      </w:r>
      <w:r w:rsidR="006F17A3">
        <w:rPr>
          <w:rFonts w:ascii="Cambria" w:hAnsi="Cambria"/>
          <w:lang w:val="en-US"/>
        </w:rPr>
        <w:t xml:space="preserve">.  I will </w:t>
      </w:r>
      <w:r>
        <w:rPr>
          <w:rFonts w:ascii="Cambria" w:hAnsi="Cambria"/>
          <w:lang w:val="en-US"/>
        </w:rPr>
        <w:t>argue</w:t>
      </w:r>
      <w:r w:rsidR="006F17A3">
        <w:rPr>
          <w:rFonts w:ascii="Cambria" w:hAnsi="Cambria"/>
          <w:lang w:val="en-US"/>
        </w:rPr>
        <w:t xml:space="preserve"> that Tsongkhapa and his followers get this right, and </w:t>
      </w:r>
      <w:r w:rsidR="00CC70B0">
        <w:rPr>
          <w:rFonts w:ascii="Cambria" w:hAnsi="Cambria"/>
          <w:lang w:val="en-US"/>
        </w:rPr>
        <w:t xml:space="preserve">I will argue </w:t>
      </w:r>
      <w:r w:rsidR="006F17A3">
        <w:rPr>
          <w:rFonts w:ascii="Cambria" w:hAnsi="Cambria"/>
          <w:lang w:val="en-US"/>
        </w:rPr>
        <w:t xml:space="preserve">that seeing how they do so </w:t>
      </w:r>
      <w:proofErr w:type="gramStart"/>
      <w:r w:rsidR="006F17A3">
        <w:rPr>
          <w:rFonts w:ascii="Cambria" w:hAnsi="Cambria"/>
          <w:lang w:val="en-US"/>
        </w:rPr>
        <w:t>illuminates</w:t>
      </w:r>
      <w:proofErr w:type="gramEnd"/>
      <w:r w:rsidR="006F17A3">
        <w:rPr>
          <w:rFonts w:ascii="Cambria" w:hAnsi="Cambria"/>
          <w:lang w:val="en-US"/>
        </w:rPr>
        <w:t xml:space="preserve"> the concept of knowledge itself, showing how a good Mādhyamika should think about epistemology.</w:t>
      </w:r>
      <w:r w:rsidR="00F359BA">
        <w:rPr>
          <w:rFonts w:ascii="Cambria" w:hAnsi="Cambria"/>
          <w:lang w:val="en-US"/>
        </w:rPr>
        <w:t xml:space="preserve">  This essay emerges from the Yakherds’ project</w:t>
      </w:r>
      <w:r>
        <w:rPr>
          <w:rFonts w:ascii="Cambria" w:hAnsi="Cambria"/>
          <w:lang w:val="en-US"/>
        </w:rPr>
        <w:t xml:space="preserve"> where these ideas are explored more extensively</w:t>
      </w:r>
      <w:r w:rsidR="00F359BA">
        <w:rPr>
          <w:rFonts w:ascii="Cambria" w:hAnsi="Cambria"/>
          <w:lang w:val="en-US"/>
        </w:rPr>
        <w:t>.</w:t>
      </w:r>
    </w:p>
    <w:p w14:paraId="1BD67649" w14:textId="711442CF" w:rsidR="00C8119E" w:rsidRPr="00C8119E" w:rsidRDefault="0090784B" w:rsidP="001B4B36">
      <w:pPr>
        <w:spacing w:after="180" w:line="360" w:lineRule="auto"/>
        <w:ind w:firstLine="720"/>
        <w:rPr>
          <w:rFonts w:ascii="Cambria" w:hAnsi="Cambria"/>
        </w:rPr>
      </w:pPr>
      <w:r>
        <w:rPr>
          <w:rFonts w:ascii="Cambria" w:hAnsi="Cambria"/>
        </w:rPr>
        <w:t xml:space="preserve">While we will always detect errors in our beliefs and defects in our epistemic practices, we cannot scrap them wholesale to start again: to do so would be to drown in a bottomless sea of ignorance with no way of </w:t>
      </w:r>
      <w:r w:rsidRPr="006027D1">
        <w:rPr>
          <w:rFonts w:ascii="Cambria" w:hAnsi="Cambria"/>
          <w:lang w:val="en-US"/>
        </w:rPr>
        <w:t>rising</w:t>
      </w:r>
      <w:r>
        <w:rPr>
          <w:rFonts w:ascii="Cambria" w:hAnsi="Cambria"/>
        </w:rPr>
        <w:t xml:space="preserve"> to the surface. Instead, we should recognize that our fallible practices are both sufficient to keep us afloat and to enable us to improve upon them as we move forward.  As we will see, this was precisely the moral that </w:t>
      </w:r>
      <w:r>
        <w:rPr>
          <w:rFonts w:ascii="Cambria" w:hAnsi="Cambria"/>
        </w:rPr>
        <w:lastRenderedPageBreak/>
        <w:t>Tsongkhapa and the Geluk tradition took from Candrakīrti.</w:t>
      </w:r>
      <w:r w:rsidR="00CC70B0">
        <w:rPr>
          <w:rFonts w:ascii="Cambria" w:hAnsi="Cambria"/>
        </w:rPr>
        <w:t xml:space="preserve">  It represents their solution to the problem of how the path to awakening is possible.</w:t>
      </w:r>
    </w:p>
    <w:p w14:paraId="0DA2F818" w14:textId="4BB5DF38" w:rsidR="00E95E25" w:rsidRPr="00F95A94" w:rsidRDefault="00E95E25" w:rsidP="00F95A94">
      <w:pPr>
        <w:spacing w:before="60"/>
        <w:rPr>
          <w:rFonts w:ascii="Cambria" w:hAnsi="Cambria"/>
          <w:b/>
          <w:lang w:val="en-US"/>
        </w:rPr>
      </w:pPr>
      <w:r w:rsidRPr="00F95A94">
        <w:rPr>
          <w:rFonts w:ascii="Cambria" w:hAnsi="Cambria"/>
          <w:b/>
          <w:lang w:val="en-US"/>
        </w:rPr>
        <w:t>1.  The Tsongkhapa</w:t>
      </w:r>
      <w:r w:rsidR="00EA2203">
        <w:rPr>
          <w:rFonts w:ascii="Cambria" w:hAnsi="Cambria"/>
          <w:b/>
          <w:lang w:val="en-US"/>
        </w:rPr>
        <w:t>-</w:t>
      </w:r>
      <w:r w:rsidRPr="00F95A94">
        <w:rPr>
          <w:rFonts w:ascii="Cambria" w:hAnsi="Cambria"/>
          <w:b/>
          <w:lang w:val="en-US"/>
        </w:rPr>
        <w:t>Taktsang Debate</w:t>
      </w:r>
    </w:p>
    <w:p w14:paraId="40146C23" w14:textId="126B13EC" w:rsidR="00E95E25" w:rsidRPr="00D265E4" w:rsidRDefault="001725B4" w:rsidP="001725B4">
      <w:pPr>
        <w:spacing w:after="180" w:line="360" w:lineRule="auto"/>
        <w:rPr>
          <w:rFonts w:ascii="Cambria" w:hAnsi="Cambria"/>
          <w:lang w:val="en-US"/>
        </w:rPr>
      </w:pPr>
      <w:r>
        <w:rPr>
          <w:rFonts w:ascii="Cambria" w:hAnsi="Cambria"/>
          <w:lang w:val="en-US"/>
        </w:rPr>
        <w:t xml:space="preserve">The debate initiated by Taktsang’s </w:t>
      </w:r>
      <w:r>
        <w:rPr>
          <w:rFonts w:ascii="Cambria" w:hAnsi="Cambria"/>
          <w:i/>
          <w:lang w:val="en-US"/>
        </w:rPr>
        <w:t>18 Great Contradictions</w:t>
      </w:r>
      <w:r>
        <w:rPr>
          <w:rFonts w:ascii="Cambria" w:hAnsi="Cambria"/>
          <w:lang w:val="en-US"/>
        </w:rPr>
        <w:t xml:space="preserve"> section in chapter five of his </w:t>
      </w:r>
      <w:r>
        <w:rPr>
          <w:rFonts w:ascii="Cambria" w:hAnsi="Cambria"/>
          <w:i/>
          <w:lang w:val="en-US"/>
        </w:rPr>
        <w:t xml:space="preserve">Freedom from Extremes Accomplished </w:t>
      </w:r>
      <w:r w:rsidRPr="001725B4">
        <w:rPr>
          <w:rFonts w:ascii="Cambria" w:hAnsi="Cambria"/>
          <w:lang w:val="en-US"/>
        </w:rPr>
        <w:t>through</w:t>
      </w:r>
      <w:r>
        <w:rPr>
          <w:rFonts w:ascii="Cambria" w:hAnsi="Cambria"/>
          <w:i/>
          <w:lang w:val="en-US"/>
        </w:rPr>
        <w:t xml:space="preserve"> Comprehensive Knowledge of Philosophy</w:t>
      </w:r>
      <w:r>
        <w:rPr>
          <w:rFonts w:ascii="Cambria" w:hAnsi="Cambria"/>
          <w:lang w:val="en-US"/>
        </w:rPr>
        <w:t xml:space="preserve"> (</w:t>
      </w:r>
      <w:r w:rsidR="000D72C6">
        <w:rPr>
          <w:rFonts w:ascii="Cambria" w:hAnsi="Cambria"/>
          <w:lang w:val="en-US"/>
        </w:rPr>
        <w:t>Yakherds 2021</w:t>
      </w:r>
      <w:r>
        <w:rPr>
          <w:rFonts w:ascii="Cambria" w:hAnsi="Cambria"/>
          <w:lang w:val="en-US"/>
        </w:rPr>
        <w:t>, v. II pp. 8-148) is extensive and complex. (</w:t>
      </w:r>
      <w:r w:rsidR="000D72C6">
        <w:rPr>
          <w:rFonts w:ascii="Cambria" w:hAnsi="Cambria"/>
          <w:lang w:val="en-US"/>
        </w:rPr>
        <w:t>Yakherds 2021</w:t>
      </w:r>
      <w:r>
        <w:rPr>
          <w:rFonts w:ascii="Cambria" w:hAnsi="Cambria"/>
          <w:lang w:val="en-US"/>
        </w:rPr>
        <w:t xml:space="preserve"> v. I) Here I focus only one </w:t>
      </w:r>
      <w:r w:rsidR="000E42F8">
        <w:rPr>
          <w:rFonts w:ascii="Cambria" w:hAnsi="Cambria"/>
          <w:lang w:val="en-US"/>
        </w:rPr>
        <w:t xml:space="preserve">aspect: the question regarding whether one can make sense of epistemic warrant in the absence of epistemic foundations. </w:t>
      </w:r>
      <w:r w:rsidR="005714E9">
        <w:rPr>
          <w:rFonts w:ascii="Cambria" w:hAnsi="Cambria"/>
          <w:lang w:val="en-US"/>
        </w:rPr>
        <w:t xml:space="preserve">Whatever their other differences, Tsongkhapa and Taktsang agree that Prāsaṅgika Madhyamaka is inconsistent with foundationalism in epistemology.  Tsongkhapa, </w:t>
      </w:r>
      <w:proofErr w:type="spellStart"/>
      <w:r w:rsidR="005714E9">
        <w:rPr>
          <w:rFonts w:ascii="Cambria" w:hAnsi="Cambria"/>
          <w:lang w:val="en-US"/>
        </w:rPr>
        <w:t>Khedrup</w:t>
      </w:r>
      <w:proofErr w:type="spellEnd"/>
      <w:r w:rsidR="005714E9">
        <w:rPr>
          <w:rFonts w:ascii="Cambria" w:hAnsi="Cambria"/>
          <w:lang w:val="en-US"/>
        </w:rPr>
        <w:t>, Panchen Chökyi Gyaltsen, and other Geluk epistemologists interpret Nāgārjuna and Candrakīrti as defending a</w:t>
      </w:r>
      <w:r w:rsidR="00D265E4">
        <w:rPr>
          <w:rFonts w:ascii="Cambria" w:hAnsi="Cambria"/>
          <w:lang w:val="en-US"/>
        </w:rPr>
        <w:t xml:space="preserve"> coherentist epistemology, and as vindicating both knowledge of the conventional truth and knowledge of ultimate truth, albeit </w:t>
      </w:r>
      <w:proofErr w:type="gramStart"/>
      <w:r w:rsidR="00D265E4">
        <w:rPr>
          <w:rFonts w:ascii="Cambria" w:hAnsi="Cambria"/>
          <w:lang w:val="en-US"/>
        </w:rPr>
        <w:t>through the use of</w:t>
      </w:r>
      <w:proofErr w:type="gramEnd"/>
      <w:r w:rsidR="00D265E4">
        <w:rPr>
          <w:rFonts w:ascii="Cambria" w:hAnsi="Cambria"/>
          <w:lang w:val="en-US"/>
        </w:rPr>
        <w:t xml:space="preserve"> different </w:t>
      </w:r>
      <w:r w:rsidR="00D265E4">
        <w:rPr>
          <w:rFonts w:ascii="Cambria" w:hAnsi="Cambria"/>
          <w:i/>
          <w:lang w:val="en-US"/>
        </w:rPr>
        <w:t>pramāṇas.</w:t>
      </w:r>
      <w:r w:rsidR="00D265E4">
        <w:rPr>
          <w:rFonts w:ascii="Cambria" w:hAnsi="Cambria"/>
          <w:lang w:val="en-US"/>
        </w:rPr>
        <w:t xml:space="preserve"> Taktsang, followed by the 13</w:t>
      </w:r>
      <w:r w:rsidR="00D265E4" w:rsidRPr="00D265E4">
        <w:rPr>
          <w:rFonts w:ascii="Cambria" w:hAnsi="Cambria"/>
          <w:vertAlign w:val="superscript"/>
          <w:lang w:val="en-US"/>
        </w:rPr>
        <w:t>th</w:t>
      </w:r>
      <w:r w:rsidR="00D265E4">
        <w:rPr>
          <w:rFonts w:ascii="Cambria" w:hAnsi="Cambria"/>
          <w:lang w:val="en-US"/>
        </w:rPr>
        <w:t xml:space="preserve"> and 14</w:t>
      </w:r>
      <w:r w:rsidR="00D265E4" w:rsidRPr="00D265E4">
        <w:rPr>
          <w:rFonts w:ascii="Cambria" w:hAnsi="Cambria"/>
          <w:vertAlign w:val="superscript"/>
          <w:lang w:val="en-US"/>
        </w:rPr>
        <w:t>th</w:t>
      </w:r>
      <w:r w:rsidR="00D265E4">
        <w:rPr>
          <w:rFonts w:ascii="Cambria" w:hAnsi="Cambria"/>
          <w:lang w:val="en-US"/>
        </w:rPr>
        <w:t xml:space="preserve"> Karmapas, argues that </w:t>
      </w:r>
      <w:r w:rsidR="00CC70B0">
        <w:rPr>
          <w:rFonts w:ascii="Cambria" w:hAnsi="Cambria"/>
          <w:lang w:val="en-US"/>
        </w:rPr>
        <w:t>this</w:t>
      </w:r>
      <w:r w:rsidR="00D265E4">
        <w:rPr>
          <w:rFonts w:ascii="Cambria" w:hAnsi="Cambria"/>
          <w:lang w:val="en-US"/>
        </w:rPr>
        <w:t xml:space="preserve"> makes no sense: knowledge, on their view, requires foundations.  Without foundations, they argue, knowledge is impossible, and so</w:t>
      </w:r>
      <w:r w:rsidR="00CC70B0">
        <w:rPr>
          <w:rFonts w:ascii="Cambria" w:hAnsi="Cambria"/>
          <w:lang w:val="en-US"/>
        </w:rPr>
        <w:t>, they conclude,</w:t>
      </w:r>
      <w:r w:rsidR="00D265E4">
        <w:rPr>
          <w:rFonts w:ascii="Cambria" w:hAnsi="Cambria"/>
          <w:lang w:val="en-US"/>
        </w:rPr>
        <w:t xml:space="preserve"> </w:t>
      </w:r>
      <w:r w:rsidR="00D265E4">
        <w:rPr>
          <w:rFonts w:ascii="Cambria" w:hAnsi="Cambria"/>
          <w:i/>
          <w:lang w:val="en-US"/>
        </w:rPr>
        <w:t xml:space="preserve">pramāṇas </w:t>
      </w:r>
      <w:r w:rsidR="00D265E4">
        <w:rPr>
          <w:rFonts w:ascii="Cambria" w:hAnsi="Cambria"/>
          <w:lang w:val="en-US"/>
        </w:rPr>
        <w:t xml:space="preserve">make no sense in a Prāsaṅgika framework.  </w:t>
      </w:r>
    </w:p>
    <w:p w14:paraId="2C438813" w14:textId="25E6FF3D" w:rsidR="006027D1" w:rsidRPr="00795CD7" w:rsidRDefault="00D265E4" w:rsidP="004D3947">
      <w:pPr>
        <w:spacing w:after="180" w:line="360" w:lineRule="auto"/>
        <w:ind w:firstLine="720"/>
        <w:rPr>
          <w:rFonts w:ascii="Cambria" w:hAnsi="Cambria"/>
          <w:lang w:val="en-US"/>
        </w:rPr>
      </w:pPr>
      <w:r>
        <w:rPr>
          <w:rFonts w:ascii="Cambria" w:hAnsi="Cambria"/>
          <w:lang w:val="en-US"/>
        </w:rPr>
        <w:t xml:space="preserve">This debate </w:t>
      </w:r>
      <w:r w:rsidR="001F3235">
        <w:rPr>
          <w:rFonts w:ascii="Cambria" w:hAnsi="Cambria"/>
          <w:lang w:val="en-US"/>
        </w:rPr>
        <w:t>raged in Tibet from the 15</w:t>
      </w:r>
      <w:r w:rsidR="001F3235" w:rsidRPr="001F3235">
        <w:rPr>
          <w:rFonts w:ascii="Cambria" w:hAnsi="Cambria"/>
          <w:vertAlign w:val="superscript"/>
          <w:lang w:val="en-US"/>
        </w:rPr>
        <w:t>th</w:t>
      </w:r>
      <w:r w:rsidR="001F3235">
        <w:rPr>
          <w:rFonts w:ascii="Cambria" w:hAnsi="Cambria"/>
          <w:lang w:val="en-US"/>
        </w:rPr>
        <w:t xml:space="preserve"> through the 18</w:t>
      </w:r>
      <w:r w:rsidR="001F3235" w:rsidRPr="001F3235">
        <w:rPr>
          <w:rFonts w:ascii="Cambria" w:hAnsi="Cambria"/>
          <w:vertAlign w:val="superscript"/>
          <w:lang w:val="en-US"/>
        </w:rPr>
        <w:t>th</w:t>
      </w:r>
      <w:r w:rsidR="001F3235">
        <w:rPr>
          <w:rFonts w:ascii="Cambria" w:hAnsi="Cambria"/>
          <w:lang w:val="en-US"/>
        </w:rPr>
        <w:t xml:space="preserve"> centuries, and it continues today.  It is rooted in a fundamental conundrum that lies at the base of Buddhist philosophy.  </w:t>
      </w:r>
      <w:r w:rsidR="007A2575">
        <w:rPr>
          <w:rFonts w:ascii="Cambria" w:hAnsi="Cambria"/>
          <w:lang w:val="en-US"/>
        </w:rPr>
        <w:t>The goal of Buddhist practice—particularly in the Mahāyāna—is awakening or buddhahood. That is a state of perfect knowledge of all phenomena</w:t>
      </w:r>
      <w:r w:rsidR="009668CB">
        <w:rPr>
          <w:rFonts w:ascii="Cambria" w:hAnsi="Cambria"/>
          <w:lang w:val="en-US"/>
        </w:rPr>
        <w:t>.</w:t>
      </w:r>
      <w:r w:rsidR="004D3947">
        <w:rPr>
          <w:rStyle w:val="FootnoteReference"/>
          <w:rFonts w:ascii="Cambria" w:hAnsi="Cambria"/>
          <w:lang w:val="en-US"/>
        </w:rPr>
        <w:footnoteReference w:id="1"/>
      </w:r>
      <w:r w:rsidR="009668CB">
        <w:rPr>
          <w:rFonts w:ascii="Cambria" w:hAnsi="Cambria"/>
          <w:lang w:val="en-US"/>
        </w:rPr>
        <w:t xml:space="preserve">  </w:t>
      </w:r>
      <w:r w:rsidR="00E81820">
        <w:rPr>
          <w:rFonts w:ascii="Cambria" w:hAnsi="Cambria"/>
          <w:lang w:val="en-US"/>
        </w:rPr>
        <w:t xml:space="preserve">And the only tool we </w:t>
      </w:r>
      <w:proofErr w:type="gramStart"/>
      <w:r w:rsidR="00E81820">
        <w:rPr>
          <w:rFonts w:ascii="Cambria" w:hAnsi="Cambria"/>
          <w:lang w:val="en-US"/>
        </w:rPr>
        <w:t>have to</w:t>
      </w:r>
      <w:proofErr w:type="gramEnd"/>
      <w:r w:rsidR="00E81820">
        <w:rPr>
          <w:rFonts w:ascii="Cambria" w:hAnsi="Cambria"/>
          <w:lang w:val="en-US"/>
        </w:rPr>
        <w:t xml:space="preserve"> accomplish that goal is our own mind. But that mind is imperfect, subject to delusion and to illusion.  How can the operation of an imperfect</w:t>
      </w:r>
      <w:r w:rsidR="008A63DC">
        <w:rPr>
          <w:rFonts w:ascii="Cambria" w:hAnsi="Cambria"/>
          <w:lang w:val="en-US"/>
        </w:rPr>
        <w:t xml:space="preserve">, deluded mind lead to a state of perfection and omniscience?  The bootstrapping problem appears insurmountable, </w:t>
      </w:r>
      <w:proofErr w:type="gramStart"/>
      <w:r w:rsidR="008A63DC">
        <w:rPr>
          <w:rFonts w:ascii="Cambria" w:hAnsi="Cambria"/>
          <w:lang w:val="en-US"/>
        </w:rPr>
        <w:t>and,</w:t>
      </w:r>
      <w:proofErr w:type="gramEnd"/>
      <w:r w:rsidR="008A63DC">
        <w:rPr>
          <w:rFonts w:ascii="Cambria" w:hAnsi="Cambria"/>
          <w:lang w:val="en-US"/>
        </w:rPr>
        <w:t xml:space="preserve"> as is well-known, </w:t>
      </w:r>
      <w:r w:rsidR="004C1FE6">
        <w:rPr>
          <w:rFonts w:ascii="Cambria" w:hAnsi="Cambria"/>
          <w:lang w:val="en-US"/>
        </w:rPr>
        <w:t>thi</w:t>
      </w:r>
      <w:r w:rsidR="008A63DC">
        <w:rPr>
          <w:rFonts w:ascii="Cambria" w:hAnsi="Cambria"/>
          <w:lang w:val="en-US"/>
        </w:rPr>
        <w:t>s</w:t>
      </w:r>
      <w:r w:rsidR="004C1FE6">
        <w:rPr>
          <w:rFonts w:ascii="Cambria" w:hAnsi="Cambria"/>
          <w:lang w:val="en-US"/>
        </w:rPr>
        <w:t xml:space="preserve"> problem is</w:t>
      </w:r>
      <w:r w:rsidR="008A63DC">
        <w:rPr>
          <w:rFonts w:ascii="Cambria" w:hAnsi="Cambria"/>
          <w:lang w:val="en-US"/>
        </w:rPr>
        <w:t xml:space="preserve"> addressed in various ways in</w:t>
      </w:r>
      <w:r w:rsidR="00CC70B0">
        <w:rPr>
          <w:rFonts w:ascii="Cambria" w:hAnsi="Cambria"/>
          <w:lang w:val="en-US"/>
        </w:rPr>
        <w:t xml:space="preserve"> different</w:t>
      </w:r>
      <w:r w:rsidR="008A63DC">
        <w:rPr>
          <w:rFonts w:ascii="Cambria" w:hAnsi="Cambria"/>
          <w:lang w:val="en-US"/>
        </w:rPr>
        <w:t xml:space="preserve"> Buddhist traditions.  As we will see, Geluk epistemologists are convinced that we can gradually improve our conceptual resources to enable them to warrant a nonconceptual understanding, first grasping ultimate truth conceptually (</w:t>
      </w:r>
      <w:r w:rsidR="008A63DC" w:rsidRPr="008A63DC">
        <w:rPr>
          <w:rFonts w:ascii="Cambria" w:hAnsi="Cambria"/>
          <w:i/>
          <w:lang w:val="en-US"/>
        </w:rPr>
        <w:t xml:space="preserve">rnam </w:t>
      </w:r>
      <w:proofErr w:type="spellStart"/>
      <w:r w:rsidR="008A63DC" w:rsidRPr="008A63DC">
        <w:rPr>
          <w:rFonts w:ascii="Cambria" w:hAnsi="Cambria"/>
          <w:i/>
          <w:lang w:val="en-US"/>
        </w:rPr>
        <w:t>drang</w:t>
      </w:r>
      <w:proofErr w:type="spellEnd"/>
      <w:r w:rsidR="008A63DC" w:rsidRPr="008A63DC">
        <w:rPr>
          <w:rFonts w:ascii="Cambria" w:hAnsi="Cambria"/>
          <w:i/>
          <w:lang w:val="en-US"/>
        </w:rPr>
        <w:t xml:space="preserve"> don dam</w:t>
      </w:r>
      <w:r w:rsidR="008A63DC">
        <w:rPr>
          <w:rFonts w:ascii="Cambria" w:hAnsi="Cambria"/>
          <w:lang w:val="en-US"/>
        </w:rPr>
        <w:t xml:space="preserve">) and then </w:t>
      </w:r>
      <w:r w:rsidR="008A63DC">
        <w:rPr>
          <w:rFonts w:ascii="Cambria" w:hAnsi="Cambria"/>
          <w:lang w:val="en-US"/>
        </w:rPr>
        <w:lastRenderedPageBreak/>
        <w:t>apprehending it non conceptually (</w:t>
      </w:r>
      <w:r w:rsidR="008A63DC">
        <w:rPr>
          <w:rFonts w:ascii="Cambria" w:hAnsi="Cambria"/>
          <w:i/>
          <w:lang w:val="en-US"/>
        </w:rPr>
        <w:t xml:space="preserve">rnam </w:t>
      </w:r>
      <w:proofErr w:type="spellStart"/>
      <w:r w:rsidR="008A63DC">
        <w:rPr>
          <w:rFonts w:ascii="Cambria" w:hAnsi="Cambria"/>
          <w:i/>
          <w:lang w:val="en-US"/>
        </w:rPr>
        <w:t>drang</w:t>
      </w:r>
      <w:proofErr w:type="spellEnd"/>
      <w:r w:rsidR="008A63DC">
        <w:rPr>
          <w:rFonts w:ascii="Cambria" w:hAnsi="Cambria"/>
          <w:i/>
          <w:lang w:val="en-US"/>
        </w:rPr>
        <w:t xml:space="preserve"> ma yin pa’i don dam</w:t>
      </w:r>
      <w:r w:rsidR="00795CD7">
        <w:rPr>
          <w:rFonts w:ascii="Cambria" w:hAnsi="Cambria"/>
          <w:lang w:val="en-US"/>
        </w:rPr>
        <w:t>). Taktsang argues that this makes no sense.</w:t>
      </w:r>
    </w:p>
    <w:p w14:paraId="4262B4BD" w14:textId="29DAA0DA" w:rsidR="001F3235" w:rsidRDefault="001F3235" w:rsidP="00F95A94">
      <w:pPr>
        <w:spacing w:after="180" w:line="360" w:lineRule="auto"/>
        <w:ind w:firstLine="720"/>
        <w:rPr>
          <w:rFonts w:ascii="Cambria" w:hAnsi="Cambria"/>
          <w:lang w:val="en-US"/>
        </w:rPr>
      </w:pPr>
      <w:r>
        <w:rPr>
          <w:rFonts w:ascii="Cambria" w:hAnsi="Cambria"/>
          <w:lang w:val="en-US"/>
        </w:rPr>
        <w:t xml:space="preserve">The debate also raises </w:t>
      </w:r>
      <w:proofErr w:type="gramStart"/>
      <w:r>
        <w:rPr>
          <w:rFonts w:ascii="Cambria" w:hAnsi="Cambria"/>
          <w:lang w:val="en-US"/>
        </w:rPr>
        <w:t>a number of</w:t>
      </w:r>
      <w:proofErr w:type="gramEnd"/>
      <w:r>
        <w:rPr>
          <w:rFonts w:ascii="Cambria" w:hAnsi="Cambria"/>
          <w:lang w:val="en-US"/>
        </w:rPr>
        <w:t xml:space="preserve"> ancillary issues that are extremely important in Tibetan epistemological thought. </w:t>
      </w:r>
      <w:r w:rsidR="00795CD7">
        <w:rPr>
          <w:rFonts w:ascii="Cambria" w:hAnsi="Cambria"/>
          <w:lang w:val="en-US"/>
        </w:rPr>
        <w:t xml:space="preserve">One concerns the </w:t>
      </w:r>
      <w:r w:rsidR="00736E8A">
        <w:rPr>
          <w:rFonts w:ascii="Cambria" w:hAnsi="Cambria"/>
          <w:lang w:val="en-US"/>
        </w:rPr>
        <w:t xml:space="preserve">relation between the conceptually grasped ultimate and the non-conceptually grasped ultimate: are they the same object grasped through two different kinds of subjectivity, or are they distinct objects?  (Garfield 2020) </w:t>
      </w:r>
      <w:r w:rsidR="006455F6">
        <w:rPr>
          <w:rFonts w:ascii="Cambria" w:hAnsi="Cambria"/>
          <w:lang w:val="en-US"/>
        </w:rPr>
        <w:t xml:space="preserve">On the first option, we must explain how deceptive conceptualization can deliver ultimate truth; on the second, we must explain why the conceptual stage is either necessary or sufficient for the nonconceptual achievement. Another concerns the scope of a Buddha’s knowledge: does a Buddha know conventional phenomena or not?  If so, then since </w:t>
      </w:r>
      <w:r w:rsidR="00F74F95">
        <w:rPr>
          <w:rFonts w:ascii="Cambria" w:hAnsi="Cambria"/>
          <w:lang w:val="en-US"/>
        </w:rPr>
        <w:t>conventional phenomena are deceptive</w:t>
      </w:r>
      <w:r w:rsidR="00CC70B0">
        <w:rPr>
          <w:rFonts w:ascii="Cambria" w:hAnsi="Cambria"/>
          <w:lang w:val="en-US"/>
        </w:rPr>
        <w:t>,</w:t>
      </w:r>
      <w:r w:rsidR="00F74F95">
        <w:rPr>
          <w:rFonts w:ascii="Cambria" w:hAnsi="Cambria"/>
          <w:lang w:val="en-US"/>
        </w:rPr>
        <w:t xml:space="preserve"> a Buddha would behold deceptive phenomena; if not, a Buddha would not know anything about the world or sentient beings.  </w:t>
      </w:r>
      <w:proofErr w:type="gramStart"/>
      <w:r w:rsidR="00F74F95">
        <w:rPr>
          <w:rFonts w:ascii="Cambria" w:hAnsi="Cambria"/>
          <w:lang w:val="en-US"/>
        </w:rPr>
        <w:t>So</w:t>
      </w:r>
      <w:proofErr w:type="gramEnd"/>
      <w:r w:rsidR="00F74F95">
        <w:rPr>
          <w:rFonts w:ascii="Cambria" w:hAnsi="Cambria"/>
          <w:lang w:val="en-US"/>
        </w:rPr>
        <w:t xml:space="preserve"> there is a lot of soteriological import to this debate.  </w:t>
      </w:r>
    </w:p>
    <w:p w14:paraId="4CE5D8C6" w14:textId="77E23394" w:rsidR="00975062" w:rsidRDefault="00DB2442" w:rsidP="00F95A94">
      <w:pPr>
        <w:spacing w:after="180" w:line="360" w:lineRule="auto"/>
        <w:ind w:firstLine="720"/>
        <w:rPr>
          <w:rFonts w:ascii="Cambria" w:hAnsi="Cambria"/>
          <w:lang w:val="en-US"/>
        </w:rPr>
      </w:pPr>
      <w:r>
        <w:rPr>
          <w:rFonts w:ascii="Cambria" w:hAnsi="Cambria"/>
          <w:lang w:val="en-US"/>
        </w:rPr>
        <w:t>But first a word about w</w:t>
      </w:r>
      <w:r w:rsidR="00F74F95">
        <w:rPr>
          <w:rFonts w:ascii="Cambria" w:hAnsi="Cambria"/>
          <w:lang w:val="en-US"/>
        </w:rPr>
        <w:t>arrant and foundations.</w:t>
      </w:r>
      <w:r>
        <w:rPr>
          <w:rFonts w:ascii="Cambria" w:hAnsi="Cambria"/>
          <w:lang w:val="en-US"/>
        </w:rPr>
        <w:t xml:space="preserve">  We can get a good feel for the core of this debate by reflecting on what we mean by </w:t>
      </w:r>
      <w:r>
        <w:rPr>
          <w:rFonts w:ascii="Cambria" w:hAnsi="Cambria"/>
          <w:i/>
          <w:lang w:val="en-US"/>
        </w:rPr>
        <w:t xml:space="preserve">knowledge. </w:t>
      </w:r>
      <w:r>
        <w:rPr>
          <w:rFonts w:ascii="Cambria" w:hAnsi="Cambria"/>
          <w:lang w:val="en-US"/>
        </w:rPr>
        <w:t xml:space="preserve">At a first, pretty good pass, knowledge is justified true belief. Notoriously, that </w:t>
      </w:r>
      <w:r w:rsidR="0083087D">
        <w:rPr>
          <w:rFonts w:ascii="Cambria" w:hAnsi="Cambria"/>
          <w:lang w:val="en-US"/>
        </w:rPr>
        <w:t xml:space="preserve">definition is inadequate due to Gettier examples, and there is much controversy regarding how to patch it.  But it is a good approximation, and it is at least a necessary condition on knowledge. The crucial term here is </w:t>
      </w:r>
      <w:r w:rsidR="0083087D">
        <w:rPr>
          <w:rFonts w:ascii="Cambria" w:hAnsi="Cambria"/>
          <w:i/>
          <w:lang w:val="en-US"/>
        </w:rPr>
        <w:t xml:space="preserve">justified. </w:t>
      </w:r>
      <w:r w:rsidR="00DF676A">
        <w:rPr>
          <w:rFonts w:ascii="Cambria" w:hAnsi="Cambria"/>
          <w:lang w:val="en-US"/>
        </w:rPr>
        <w:t xml:space="preserve">And this holds just as much for our </w:t>
      </w:r>
      <w:r w:rsidR="00DF676A">
        <w:rPr>
          <w:rFonts w:ascii="Cambria" w:hAnsi="Cambria"/>
          <w:i/>
          <w:lang w:val="en-US"/>
        </w:rPr>
        <w:t xml:space="preserve">pramāṇas </w:t>
      </w:r>
      <w:r w:rsidR="00DF676A">
        <w:rPr>
          <w:rFonts w:ascii="Cambria" w:hAnsi="Cambria"/>
          <w:lang w:val="en-US"/>
        </w:rPr>
        <w:t xml:space="preserve">as it does for the objects of our knowledge. </w:t>
      </w:r>
      <w:r w:rsidR="0083087D">
        <w:rPr>
          <w:rFonts w:ascii="Cambria" w:hAnsi="Cambria"/>
          <w:lang w:val="en-US"/>
        </w:rPr>
        <w:t>To know something demands that we have good reason for believing it</w:t>
      </w:r>
      <w:r w:rsidR="00DF676A">
        <w:rPr>
          <w:rFonts w:ascii="Cambria" w:hAnsi="Cambria"/>
          <w:lang w:val="en-US"/>
        </w:rPr>
        <w:t xml:space="preserve">; to use an </w:t>
      </w:r>
      <w:proofErr w:type="gramStart"/>
      <w:r w:rsidR="00DF676A">
        <w:rPr>
          <w:rFonts w:ascii="Cambria" w:hAnsi="Cambria"/>
          <w:lang w:val="en-US"/>
        </w:rPr>
        <w:t>epistemic instrument demands</w:t>
      </w:r>
      <w:proofErr w:type="gramEnd"/>
      <w:r w:rsidR="00DF676A">
        <w:rPr>
          <w:rFonts w:ascii="Cambria" w:hAnsi="Cambria"/>
          <w:lang w:val="en-US"/>
        </w:rPr>
        <w:t xml:space="preserve"> that we have good reason for confidence in it</w:t>
      </w:r>
      <w:r w:rsidR="0083087D">
        <w:rPr>
          <w:rFonts w:ascii="Cambria" w:hAnsi="Cambria"/>
          <w:lang w:val="en-US"/>
        </w:rPr>
        <w:t>.  And since that reason is what warrants, or justifies, our belief</w:t>
      </w:r>
      <w:r w:rsidR="00DF676A">
        <w:rPr>
          <w:rFonts w:ascii="Cambria" w:hAnsi="Cambria"/>
          <w:lang w:val="en-US"/>
        </w:rPr>
        <w:t xml:space="preserve"> or our practice</w:t>
      </w:r>
      <w:r w:rsidR="0083087D">
        <w:rPr>
          <w:rFonts w:ascii="Cambria" w:hAnsi="Cambria"/>
          <w:lang w:val="en-US"/>
        </w:rPr>
        <w:t xml:space="preserve">, that reason should be known as well, and therefore justified. </w:t>
      </w:r>
      <w:r w:rsidR="00975062">
        <w:rPr>
          <w:rFonts w:ascii="Cambria" w:hAnsi="Cambria"/>
          <w:lang w:val="en-US"/>
        </w:rPr>
        <w:t xml:space="preserve">We seem to have a regress on our hands. Foundationalists attempt to cut the regress off by establishing a self-justifying set of basic knowledge on which the rest of the edifice rests, and from which all other knowledge can be derived.  Foundationalism is a recurrent philosophical temptation because it seems that without foundations, there can be no knowledge, because there could be no ultimate justification of any beliefs. </w:t>
      </w:r>
    </w:p>
    <w:p w14:paraId="7965D66F" w14:textId="24D832F5" w:rsidR="00F74F95" w:rsidRDefault="00975062" w:rsidP="00F95A94">
      <w:pPr>
        <w:spacing w:after="180" w:line="360" w:lineRule="auto"/>
        <w:ind w:firstLine="720"/>
        <w:rPr>
          <w:rFonts w:ascii="Cambria" w:hAnsi="Cambria"/>
          <w:iCs/>
          <w:lang w:val="en-US"/>
        </w:rPr>
      </w:pPr>
      <w:r>
        <w:rPr>
          <w:rFonts w:ascii="Cambria" w:hAnsi="Cambria"/>
          <w:lang w:val="en-US"/>
        </w:rPr>
        <w:lastRenderedPageBreak/>
        <w:t xml:space="preserve">There are many versions of foundationalism, but they are </w:t>
      </w:r>
      <w:r w:rsidR="003F6F68">
        <w:rPr>
          <w:rFonts w:ascii="Cambria" w:hAnsi="Cambria"/>
          <w:lang w:val="en-US"/>
        </w:rPr>
        <w:t xml:space="preserve">all subject to some form of skeptical critique.  The problem in a nutshell is that the very considerations that drive us towards foundationalism in the first place seem to undermine the foundations they demand. For the foundations are only epistemically secure if they are justified. No foundational statement can be justified by anything else on pain of reintroducing the regress. </w:t>
      </w:r>
      <w:r w:rsidR="00046488">
        <w:rPr>
          <w:rFonts w:ascii="Cambria" w:hAnsi="Cambria"/>
          <w:lang w:val="en-US"/>
        </w:rPr>
        <w:t xml:space="preserve">But if the foundations require justification in the first place, they cannot justify themselves.  </w:t>
      </w:r>
      <w:proofErr w:type="gramStart"/>
      <w:r w:rsidR="00046488">
        <w:rPr>
          <w:rFonts w:ascii="Cambria" w:hAnsi="Cambria"/>
          <w:lang w:val="en-US"/>
        </w:rPr>
        <w:t>So</w:t>
      </w:r>
      <w:proofErr w:type="gramEnd"/>
      <w:r w:rsidR="00046488">
        <w:rPr>
          <w:rFonts w:ascii="Cambria" w:hAnsi="Cambria"/>
          <w:lang w:val="en-US"/>
        </w:rPr>
        <w:t xml:space="preserve"> they are unjustified, and the problem we were meant to solve is reintroduced. In the West, this is Sextus Empiricus’ </w:t>
      </w:r>
      <w:r w:rsidR="00046488">
        <w:rPr>
          <w:rFonts w:ascii="Cambria" w:hAnsi="Cambria"/>
          <w:i/>
          <w:iCs/>
          <w:lang w:val="en-US"/>
        </w:rPr>
        <w:t xml:space="preserve">problem of the criterion. </w:t>
      </w:r>
      <w:r w:rsidR="00046488">
        <w:rPr>
          <w:rFonts w:ascii="Cambria" w:hAnsi="Cambria"/>
          <w:iCs/>
          <w:lang w:val="en-US"/>
        </w:rPr>
        <w:t xml:space="preserve">In </w:t>
      </w:r>
      <w:r w:rsidR="002E7CD5">
        <w:rPr>
          <w:rFonts w:ascii="Cambria" w:hAnsi="Cambria"/>
          <w:iCs/>
          <w:lang w:val="en-US"/>
        </w:rPr>
        <w:t xml:space="preserve">Buddhist </w:t>
      </w:r>
      <w:r w:rsidR="00046488">
        <w:rPr>
          <w:rFonts w:ascii="Cambria" w:hAnsi="Cambria"/>
          <w:iCs/>
          <w:lang w:val="en-US"/>
        </w:rPr>
        <w:t xml:space="preserve">India, it is the point of Nāgārjuna’s conclusion in </w:t>
      </w:r>
      <w:r w:rsidR="00046488">
        <w:rPr>
          <w:rFonts w:ascii="Cambria" w:hAnsi="Cambria"/>
          <w:i/>
          <w:iCs/>
          <w:lang w:val="en-US"/>
        </w:rPr>
        <w:t xml:space="preserve">Vigrahavyāvartanī </w:t>
      </w:r>
      <w:r w:rsidR="00046488">
        <w:rPr>
          <w:rFonts w:ascii="Cambria" w:hAnsi="Cambria"/>
          <w:iCs/>
          <w:lang w:val="en-US"/>
        </w:rPr>
        <w:t xml:space="preserve">that neither </w:t>
      </w:r>
      <w:r w:rsidR="00046488" w:rsidRPr="00046488">
        <w:rPr>
          <w:rFonts w:ascii="Cambria" w:hAnsi="Cambria"/>
          <w:i/>
          <w:iCs/>
          <w:lang w:val="en-US"/>
        </w:rPr>
        <w:t>pramāṇas</w:t>
      </w:r>
      <w:r w:rsidR="00046488">
        <w:rPr>
          <w:rFonts w:ascii="Cambria" w:hAnsi="Cambria"/>
          <w:iCs/>
          <w:lang w:val="en-US"/>
        </w:rPr>
        <w:t xml:space="preserve"> nor </w:t>
      </w:r>
      <w:r w:rsidR="00046488" w:rsidRPr="00046488">
        <w:rPr>
          <w:rFonts w:ascii="Cambria" w:hAnsi="Cambria"/>
          <w:i/>
          <w:iCs/>
          <w:lang w:val="en-US"/>
        </w:rPr>
        <w:t>prameyas</w:t>
      </w:r>
      <w:r w:rsidR="00046488">
        <w:rPr>
          <w:rFonts w:ascii="Cambria" w:hAnsi="Cambria"/>
          <w:iCs/>
          <w:lang w:val="en-US"/>
        </w:rPr>
        <w:t xml:space="preserve"> can be taken as independently justificatory.</w:t>
      </w:r>
    </w:p>
    <w:p w14:paraId="709B38F5" w14:textId="44556EFC" w:rsidR="002E7CD5" w:rsidRDefault="00DF676A" w:rsidP="00F95A94">
      <w:pPr>
        <w:spacing w:after="180" w:line="360" w:lineRule="auto"/>
        <w:ind w:firstLine="720"/>
        <w:rPr>
          <w:rFonts w:ascii="Cambria" w:hAnsi="Cambria"/>
          <w:iCs/>
          <w:lang w:val="en-US"/>
        </w:rPr>
      </w:pPr>
      <w:r>
        <w:rPr>
          <w:rFonts w:ascii="Cambria" w:hAnsi="Cambria"/>
          <w:iCs/>
          <w:lang w:val="en-US"/>
        </w:rPr>
        <w:t xml:space="preserve">In </w:t>
      </w:r>
      <w:r>
        <w:rPr>
          <w:rFonts w:ascii="Cambria" w:hAnsi="Cambria"/>
          <w:i/>
          <w:iCs/>
          <w:lang w:val="en-US"/>
        </w:rPr>
        <w:t xml:space="preserve">Vigrahavyāvartanī, </w:t>
      </w:r>
      <w:r w:rsidR="00C16DBB">
        <w:rPr>
          <w:rFonts w:ascii="Cambria" w:hAnsi="Cambria"/>
          <w:iCs/>
          <w:lang w:val="en-US"/>
        </w:rPr>
        <w:t>Nāgārjuna</w:t>
      </w:r>
      <w:r w:rsidR="002C4F48">
        <w:rPr>
          <w:rFonts w:ascii="Cambria" w:hAnsi="Cambria"/>
          <w:iCs/>
          <w:lang w:val="en-US"/>
        </w:rPr>
        <w:t xml:space="preserve"> does not </w:t>
      </w:r>
      <w:r w:rsidR="002C4F48">
        <w:rPr>
          <w:rFonts w:ascii="Cambria" w:hAnsi="Cambria"/>
          <w:i/>
          <w:iCs/>
          <w:lang w:val="en-US"/>
        </w:rPr>
        <w:t xml:space="preserve">deny </w:t>
      </w:r>
      <w:r w:rsidR="002C4F48">
        <w:rPr>
          <w:rFonts w:ascii="Cambria" w:hAnsi="Cambria"/>
          <w:iCs/>
          <w:lang w:val="en-US"/>
        </w:rPr>
        <w:t xml:space="preserve">that we can justify our claims; he only denies that they can be grounded in foundations.  When he notes that </w:t>
      </w:r>
      <w:r w:rsidR="002C4F48">
        <w:rPr>
          <w:rFonts w:ascii="Cambria" w:hAnsi="Cambria"/>
          <w:i/>
          <w:iCs/>
          <w:lang w:val="en-US"/>
        </w:rPr>
        <w:t xml:space="preserve">pramāṇas </w:t>
      </w:r>
      <w:r w:rsidR="002C4F48">
        <w:rPr>
          <w:rFonts w:ascii="Cambria" w:hAnsi="Cambria"/>
          <w:iCs/>
          <w:lang w:val="en-US"/>
        </w:rPr>
        <w:t xml:space="preserve">depend on </w:t>
      </w:r>
      <w:r w:rsidR="002C4F48">
        <w:rPr>
          <w:rFonts w:ascii="Cambria" w:hAnsi="Cambria"/>
          <w:i/>
          <w:iCs/>
          <w:lang w:val="en-US"/>
        </w:rPr>
        <w:t xml:space="preserve">prameyas </w:t>
      </w:r>
      <w:r w:rsidR="002C4F48">
        <w:rPr>
          <w:rFonts w:ascii="Cambria" w:hAnsi="Cambria"/>
          <w:iCs/>
          <w:lang w:val="en-US"/>
        </w:rPr>
        <w:t xml:space="preserve">and that </w:t>
      </w:r>
      <w:r w:rsidR="002C4F48">
        <w:rPr>
          <w:rFonts w:ascii="Cambria" w:hAnsi="Cambria"/>
          <w:i/>
          <w:iCs/>
          <w:lang w:val="en-US"/>
        </w:rPr>
        <w:t xml:space="preserve">prameyas </w:t>
      </w:r>
      <w:r w:rsidR="002C4F48">
        <w:rPr>
          <w:rFonts w:ascii="Cambria" w:hAnsi="Cambria"/>
          <w:iCs/>
          <w:lang w:val="en-US"/>
        </w:rPr>
        <w:t xml:space="preserve">depend on </w:t>
      </w:r>
      <w:r w:rsidR="002C4F48">
        <w:rPr>
          <w:rFonts w:ascii="Cambria" w:hAnsi="Cambria"/>
          <w:i/>
          <w:iCs/>
          <w:lang w:val="en-US"/>
        </w:rPr>
        <w:t xml:space="preserve">pramāṇas, </w:t>
      </w:r>
      <w:r w:rsidR="002C4F48">
        <w:rPr>
          <w:rFonts w:ascii="Cambria" w:hAnsi="Cambria"/>
          <w:iCs/>
          <w:lang w:val="en-US"/>
        </w:rPr>
        <w:t xml:space="preserve">he makes the coherentist point that </w:t>
      </w:r>
      <w:r w:rsidR="00727FD9">
        <w:rPr>
          <w:rFonts w:ascii="Cambria" w:hAnsi="Cambria"/>
          <w:iCs/>
          <w:lang w:val="en-US"/>
        </w:rPr>
        <w:t xml:space="preserve">our epistemic practices and epistemic objects are interdependent. </w:t>
      </w:r>
      <w:r w:rsidR="00F31A48">
        <w:rPr>
          <w:rFonts w:ascii="Cambria" w:hAnsi="Cambria"/>
          <w:iCs/>
          <w:lang w:val="en-US"/>
        </w:rPr>
        <w:t xml:space="preserve">I know that my epistemic instruments are successful because they deliver reliable epistemic objects; I know that the objects I perceive (or </w:t>
      </w:r>
      <w:proofErr w:type="gramStart"/>
      <w:r w:rsidR="00F31A48">
        <w:rPr>
          <w:rFonts w:ascii="Cambria" w:hAnsi="Cambria"/>
          <w:iCs/>
          <w:lang w:val="en-US"/>
        </w:rPr>
        <w:t>infer, or</w:t>
      </w:r>
      <w:proofErr w:type="gramEnd"/>
      <w:r w:rsidR="00F31A48">
        <w:rPr>
          <w:rFonts w:ascii="Cambria" w:hAnsi="Cambria"/>
          <w:iCs/>
          <w:lang w:val="en-US"/>
        </w:rPr>
        <w:t xml:space="preserve"> am told about…) are reliable because they are delivered by trustworthy epistemic instruments. How do I know my eyes are good? Because they see the right letters on the optometrist’s chart. How do I know that those are the right letters? Because the optometrist tells me they are? How do I know that the tree outside my window is there? Because I know that my eyes are good.  And so on.  This is not a guarantee of infallibility, of course, only of reliability.  </w:t>
      </w:r>
      <w:r>
        <w:rPr>
          <w:rFonts w:ascii="Cambria" w:hAnsi="Cambria"/>
          <w:iCs/>
          <w:lang w:val="en-US"/>
        </w:rPr>
        <w:t xml:space="preserve">But using reliable methods and relying on the information they deliver allows us both to detect our errors, and to build on our successes, in a virtuous </w:t>
      </w:r>
      <w:proofErr w:type="spellStart"/>
      <w:r>
        <w:rPr>
          <w:rFonts w:ascii="Cambria" w:hAnsi="Cambria"/>
          <w:iCs/>
          <w:lang w:val="en-US"/>
        </w:rPr>
        <w:t>Peirceian</w:t>
      </w:r>
      <w:proofErr w:type="spellEnd"/>
      <w:r>
        <w:rPr>
          <w:rFonts w:ascii="Cambria" w:hAnsi="Cambria"/>
          <w:iCs/>
          <w:lang w:val="en-US"/>
        </w:rPr>
        <w:t xml:space="preserve"> epistemic spiral, and </w:t>
      </w:r>
      <w:r w:rsidR="00F31A48">
        <w:rPr>
          <w:rFonts w:ascii="Cambria" w:hAnsi="Cambria"/>
          <w:iCs/>
          <w:lang w:val="en-US"/>
        </w:rPr>
        <w:t xml:space="preserve">in the ordinary world, that is enough.  </w:t>
      </w:r>
    </w:p>
    <w:p w14:paraId="34541BA9" w14:textId="37E0712D" w:rsidR="00F31A48" w:rsidRPr="00F31A48" w:rsidRDefault="00F31A48" w:rsidP="00F95A94">
      <w:pPr>
        <w:spacing w:after="180" w:line="360" w:lineRule="auto"/>
        <w:ind w:firstLine="720"/>
        <w:rPr>
          <w:rFonts w:ascii="Cambria" w:hAnsi="Cambria"/>
          <w:lang w:val="en-US"/>
        </w:rPr>
      </w:pPr>
      <w:r>
        <w:rPr>
          <w:rFonts w:ascii="Cambria" w:hAnsi="Cambria"/>
          <w:iCs/>
          <w:lang w:val="en-US"/>
        </w:rPr>
        <w:t xml:space="preserve">But as Nāgārjuna also emphasizes in </w:t>
      </w:r>
      <w:r w:rsidR="00116209">
        <w:rPr>
          <w:rFonts w:ascii="Cambria" w:hAnsi="Cambria"/>
          <w:i/>
          <w:lang w:val="en-US"/>
        </w:rPr>
        <w:t xml:space="preserve">Mūlamadhyamakakārikā, </w:t>
      </w:r>
      <w:r w:rsidR="00116209">
        <w:rPr>
          <w:rFonts w:ascii="Cambria" w:hAnsi="Cambria"/>
          <w:lang w:val="en-US"/>
        </w:rPr>
        <w:t>this</w:t>
      </w:r>
      <w:r>
        <w:rPr>
          <w:rFonts w:ascii="Cambria" w:hAnsi="Cambria"/>
          <w:lang w:val="en-US"/>
        </w:rPr>
        <w:t xml:space="preserve"> does not mean that our senses, cognitive capacities, and the objects they deliver are </w:t>
      </w:r>
      <w:r>
        <w:rPr>
          <w:rFonts w:ascii="Cambria" w:hAnsi="Cambria"/>
          <w:i/>
          <w:lang w:val="en-US"/>
        </w:rPr>
        <w:t xml:space="preserve">nondeceptive. </w:t>
      </w:r>
      <w:r w:rsidR="00116209">
        <w:rPr>
          <w:rFonts w:ascii="Cambria" w:hAnsi="Cambria"/>
          <w:lang w:val="en-US"/>
        </w:rPr>
        <w:t>All compounded phenomena are deceptive: they exist in one way but appear in another</w:t>
      </w:r>
      <w:r w:rsidR="00DF676A">
        <w:rPr>
          <w:rFonts w:ascii="Cambria" w:hAnsi="Cambria"/>
          <w:lang w:val="en-US"/>
        </w:rPr>
        <w:t xml:space="preserve"> (13.1)</w:t>
      </w:r>
      <w:r w:rsidR="00116209">
        <w:rPr>
          <w:rFonts w:ascii="Cambria" w:hAnsi="Cambria"/>
          <w:lang w:val="en-US"/>
        </w:rPr>
        <w:t xml:space="preserve">. </w:t>
      </w:r>
      <w:proofErr w:type="gramStart"/>
      <w:r w:rsidR="00116209">
        <w:rPr>
          <w:rFonts w:ascii="Cambria" w:hAnsi="Cambria"/>
          <w:lang w:val="en-US"/>
        </w:rPr>
        <w:t>In particular, they</w:t>
      </w:r>
      <w:proofErr w:type="gramEnd"/>
      <w:r w:rsidR="00116209">
        <w:rPr>
          <w:rFonts w:ascii="Cambria" w:hAnsi="Cambria"/>
          <w:lang w:val="en-US"/>
        </w:rPr>
        <w:t xml:space="preserve"> exist as dependently originated, conventionally real objects while appearing to beings such as us as independent, intrinsically real phenomena.    </w:t>
      </w:r>
      <w:r w:rsidR="00665434">
        <w:rPr>
          <w:rFonts w:ascii="Cambria" w:hAnsi="Cambria"/>
          <w:lang w:val="en-US"/>
        </w:rPr>
        <w:t xml:space="preserve">But the fact that they are deceptive in one respect does not mean that they cannot be known—that they </w:t>
      </w:r>
      <w:r w:rsidR="00665434">
        <w:rPr>
          <w:rFonts w:ascii="Cambria" w:hAnsi="Cambria"/>
          <w:lang w:val="en-US"/>
        </w:rPr>
        <w:lastRenderedPageBreak/>
        <w:t xml:space="preserve">are not nondeceptive—in another.  This point will figure in Tsongkhapa’s and </w:t>
      </w:r>
      <w:proofErr w:type="spellStart"/>
      <w:r w:rsidR="00665434">
        <w:rPr>
          <w:rFonts w:ascii="Cambria" w:hAnsi="Cambria"/>
          <w:lang w:val="en-US"/>
        </w:rPr>
        <w:t>Khedrup-jé’s</w:t>
      </w:r>
      <w:proofErr w:type="spellEnd"/>
      <w:r w:rsidR="00665434">
        <w:rPr>
          <w:rFonts w:ascii="Cambria" w:hAnsi="Cambria"/>
          <w:lang w:val="en-US"/>
        </w:rPr>
        <w:t xml:space="preserve"> understanding of conventional epistemic warrant.</w:t>
      </w:r>
    </w:p>
    <w:p w14:paraId="06EC42F7" w14:textId="345F264B" w:rsidR="00C16DBB" w:rsidRPr="00BD0771" w:rsidRDefault="00C16DBB" w:rsidP="00F95A94">
      <w:pPr>
        <w:spacing w:after="180" w:line="360" w:lineRule="auto"/>
        <w:ind w:firstLine="720"/>
        <w:rPr>
          <w:rFonts w:ascii="Cambria" w:hAnsi="Cambria"/>
          <w:iCs/>
          <w:lang w:val="en-US"/>
        </w:rPr>
      </w:pPr>
      <w:r>
        <w:rPr>
          <w:rFonts w:ascii="Cambria" w:hAnsi="Cambria"/>
          <w:iCs/>
          <w:lang w:val="en-US"/>
        </w:rPr>
        <w:t>Candrakīrti</w:t>
      </w:r>
      <w:r w:rsidR="00185FD9">
        <w:rPr>
          <w:rFonts w:ascii="Cambria" w:hAnsi="Cambria"/>
          <w:iCs/>
          <w:lang w:val="en-US"/>
        </w:rPr>
        <w:t xml:space="preserve"> </w:t>
      </w:r>
      <w:r w:rsidR="00665434">
        <w:rPr>
          <w:rFonts w:ascii="Cambria" w:hAnsi="Cambria"/>
          <w:iCs/>
          <w:lang w:val="en-US"/>
        </w:rPr>
        <w:t xml:space="preserve">reaffirms </w:t>
      </w:r>
      <w:r w:rsidR="00185FD9">
        <w:rPr>
          <w:rFonts w:ascii="Cambria" w:hAnsi="Cambria"/>
          <w:iCs/>
          <w:lang w:val="en-US"/>
        </w:rPr>
        <w:t>Nāgārjuna’s distinction between the two truths, preserving the importance of each</w:t>
      </w:r>
      <w:r w:rsidR="009D66A0">
        <w:rPr>
          <w:rFonts w:ascii="Cambria" w:hAnsi="Cambria"/>
          <w:iCs/>
          <w:lang w:val="en-US"/>
        </w:rPr>
        <w:t>. He also affirms Nāgārjuna’s</w:t>
      </w:r>
      <w:r w:rsidR="00185FD9">
        <w:rPr>
          <w:rFonts w:ascii="Cambria" w:hAnsi="Cambria"/>
          <w:iCs/>
          <w:lang w:val="en-US"/>
        </w:rPr>
        <w:t xml:space="preserve"> commitment to the possibility of knowledge of conventional truth.  </w:t>
      </w:r>
      <w:r w:rsidR="00883A4B">
        <w:rPr>
          <w:rFonts w:ascii="Cambria" w:hAnsi="Cambria"/>
          <w:iCs/>
          <w:lang w:val="en-US"/>
        </w:rPr>
        <w:t xml:space="preserve">In </w:t>
      </w:r>
      <w:r w:rsidR="00BD0771">
        <w:rPr>
          <w:rFonts w:ascii="Cambria" w:hAnsi="Cambria"/>
          <w:i/>
          <w:iCs/>
          <w:lang w:val="en-US"/>
        </w:rPr>
        <w:t xml:space="preserve">Madhyamakāvatāra, </w:t>
      </w:r>
      <w:r w:rsidR="00BD0771">
        <w:rPr>
          <w:rFonts w:ascii="Cambria" w:hAnsi="Cambria"/>
          <w:iCs/>
          <w:lang w:val="en-US"/>
        </w:rPr>
        <w:t xml:space="preserve">Candrakīrti affirms the reality of both truths, as two natures that all objects have: while acknowledging that conventional truth is deceptive, he affirms it as a genuine reality and that nothing in the Prāsaṅgika system undermines conventional truth or practices. </w:t>
      </w:r>
      <w:r w:rsidR="009D66A0">
        <w:rPr>
          <w:rFonts w:ascii="Cambria" w:hAnsi="Cambria"/>
          <w:iCs/>
          <w:lang w:val="en-US"/>
        </w:rPr>
        <w:t>(6.23)</w:t>
      </w:r>
      <w:r w:rsidR="00BD0771">
        <w:rPr>
          <w:rFonts w:ascii="Cambria" w:hAnsi="Cambria"/>
          <w:iCs/>
          <w:lang w:val="en-US"/>
        </w:rPr>
        <w:t xml:space="preserve"> And in </w:t>
      </w:r>
      <w:r w:rsidR="00BD0771">
        <w:rPr>
          <w:rFonts w:ascii="Cambria" w:hAnsi="Cambria"/>
          <w:i/>
          <w:iCs/>
          <w:lang w:val="en-US"/>
        </w:rPr>
        <w:t xml:space="preserve">Prasannapadā, </w:t>
      </w:r>
      <w:r w:rsidR="00BD0771">
        <w:rPr>
          <w:rFonts w:ascii="Cambria" w:hAnsi="Cambria"/>
          <w:iCs/>
          <w:lang w:val="en-US"/>
        </w:rPr>
        <w:t xml:space="preserve">he affirms that in that conventional domain, </w:t>
      </w:r>
      <w:proofErr w:type="gramStart"/>
      <w:r w:rsidR="00BD0771">
        <w:rPr>
          <w:rFonts w:ascii="Cambria" w:hAnsi="Cambria"/>
          <w:iCs/>
          <w:lang w:val="en-US"/>
        </w:rPr>
        <w:t>all of</w:t>
      </w:r>
      <w:proofErr w:type="gramEnd"/>
      <w:r w:rsidR="00BD0771">
        <w:rPr>
          <w:rFonts w:ascii="Cambria" w:hAnsi="Cambria"/>
          <w:iCs/>
          <w:lang w:val="en-US"/>
        </w:rPr>
        <w:t xml:space="preserve"> the ordinary epistemic instruments we use are appropriate, including perception, inference, testimony, and analogy, and not closing this list.</w:t>
      </w:r>
      <w:r w:rsidR="009D66A0">
        <w:rPr>
          <w:rFonts w:ascii="Cambria" w:hAnsi="Cambria"/>
          <w:iCs/>
          <w:lang w:val="en-US"/>
        </w:rPr>
        <w:t xml:space="preserve"> (2002: 55)</w:t>
      </w:r>
      <w:r w:rsidR="00BD0771">
        <w:rPr>
          <w:rFonts w:ascii="Cambria" w:hAnsi="Cambria"/>
          <w:iCs/>
          <w:lang w:val="en-US"/>
        </w:rPr>
        <w:t xml:space="preserve"> It is Candrakīrti who becomes the </w:t>
      </w:r>
      <w:r w:rsidR="000373F1">
        <w:rPr>
          <w:rFonts w:ascii="Cambria" w:hAnsi="Cambria"/>
          <w:iCs/>
          <w:lang w:val="en-US"/>
        </w:rPr>
        <w:t>standard-bearer for the Prāsaṅgika tradition in Tibet, and debates about Prāsaṅgika doctrine are often couched as hermeneutical debates regarding how to read Candrakīrti, as is this one. (</w:t>
      </w:r>
      <w:r w:rsidR="000D72C6">
        <w:rPr>
          <w:rFonts w:ascii="Cambria" w:hAnsi="Cambria"/>
          <w:iCs/>
          <w:lang w:val="en-US"/>
        </w:rPr>
        <w:t>Yakherds 2021</w:t>
      </w:r>
      <w:r w:rsidR="000373F1">
        <w:rPr>
          <w:rFonts w:ascii="Cambria" w:hAnsi="Cambria"/>
          <w:iCs/>
          <w:lang w:val="en-US"/>
        </w:rPr>
        <w:t>, vol. 1, c. 2)</w:t>
      </w:r>
    </w:p>
    <w:p w14:paraId="52763F65" w14:textId="428779E7" w:rsidR="00D45439" w:rsidRDefault="00C16DBB" w:rsidP="00F95A94">
      <w:pPr>
        <w:spacing w:after="180" w:line="360" w:lineRule="auto"/>
        <w:ind w:firstLine="720"/>
        <w:rPr>
          <w:rFonts w:ascii="Cambria" w:hAnsi="Cambria"/>
          <w:iCs/>
          <w:lang w:val="en-US"/>
        </w:rPr>
      </w:pPr>
      <w:r>
        <w:rPr>
          <w:rFonts w:ascii="Cambria" w:hAnsi="Cambria"/>
          <w:iCs/>
          <w:lang w:val="en-US"/>
        </w:rPr>
        <w:t>Tsongkhapa</w:t>
      </w:r>
      <w:r w:rsidR="00E24D43">
        <w:rPr>
          <w:rFonts w:ascii="Cambria" w:hAnsi="Cambria"/>
          <w:iCs/>
          <w:lang w:val="en-US"/>
        </w:rPr>
        <w:t xml:space="preserve"> </w:t>
      </w:r>
      <w:r w:rsidR="00E744AF">
        <w:rPr>
          <w:rFonts w:ascii="Cambria" w:hAnsi="Cambria"/>
          <w:iCs/>
          <w:lang w:val="en-US"/>
        </w:rPr>
        <w:t>lean</w:t>
      </w:r>
      <w:r w:rsidR="00D94C57">
        <w:rPr>
          <w:rFonts w:ascii="Cambria" w:hAnsi="Cambria"/>
          <w:iCs/>
          <w:lang w:val="en-US"/>
        </w:rPr>
        <w:t>s</w:t>
      </w:r>
      <w:r w:rsidR="00E744AF">
        <w:rPr>
          <w:rFonts w:ascii="Cambria" w:hAnsi="Cambria"/>
          <w:iCs/>
          <w:lang w:val="en-US"/>
        </w:rPr>
        <w:t xml:space="preserve"> heavily on Nāgārjuna’s and Candrakīrti’s affirmation of the conventional and on their affirmation of the possibility—indeed the necessity—of knowledge of the conventional.  In the section of </w:t>
      </w:r>
      <w:r w:rsidR="00E744AF">
        <w:rPr>
          <w:rFonts w:ascii="Cambria" w:hAnsi="Cambria"/>
          <w:i/>
          <w:iCs/>
          <w:lang w:val="en-US"/>
        </w:rPr>
        <w:t xml:space="preserve">Lam rim chen mo </w:t>
      </w:r>
      <w:r w:rsidR="00E744AF">
        <w:rPr>
          <w:rFonts w:ascii="Cambria" w:hAnsi="Cambria"/>
          <w:iCs/>
          <w:lang w:val="en-US"/>
        </w:rPr>
        <w:t xml:space="preserve">devoted to conventional epistemology, </w:t>
      </w:r>
      <w:r w:rsidR="00632C85">
        <w:rPr>
          <w:rFonts w:ascii="Cambria" w:hAnsi="Cambria"/>
          <w:iCs/>
          <w:lang w:val="en-US"/>
        </w:rPr>
        <w:t xml:space="preserve">Tsongkhapa characterizes conventional knowledge as that warranted by conventional </w:t>
      </w:r>
      <w:r w:rsidR="00632C85">
        <w:rPr>
          <w:rFonts w:ascii="Cambria" w:hAnsi="Cambria"/>
          <w:i/>
          <w:iCs/>
          <w:lang w:val="en-US"/>
        </w:rPr>
        <w:t xml:space="preserve">pramāṇas </w:t>
      </w:r>
      <w:r w:rsidR="00632C85">
        <w:rPr>
          <w:rFonts w:ascii="Cambria" w:hAnsi="Cambria"/>
          <w:iCs/>
          <w:lang w:val="en-US"/>
        </w:rPr>
        <w:t xml:space="preserve">and not undermined by other conventional </w:t>
      </w:r>
      <w:r w:rsidR="00632C85">
        <w:rPr>
          <w:rFonts w:ascii="Cambria" w:hAnsi="Cambria"/>
          <w:i/>
          <w:iCs/>
          <w:lang w:val="en-US"/>
        </w:rPr>
        <w:t xml:space="preserve">pramāṇas. </w:t>
      </w:r>
      <w:r w:rsidR="00632C85">
        <w:rPr>
          <w:rFonts w:ascii="Cambria" w:hAnsi="Cambria"/>
          <w:iCs/>
          <w:lang w:val="en-US"/>
        </w:rPr>
        <w:t xml:space="preserve"> </w:t>
      </w:r>
      <w:r w:rsidR="008D3792">
        <w:rPr>
          <w:rFonts w:ascii="Cambria" w:hAnsi="Cambria"/>
          <w:iCs/>
          <w:lang w:val="en-US"/>
        </w:rPr>
        <w:t xml:space="preserve">(xxx) </w:t>
      </w:r>
      <w:r w:rsidR="00632C85">
        <w:rPr>
          <w:rFonts w:ascii="Cambria" w:hAnsi="Cambria"/>
          <w:iCs/>
          <w:lang w:val="en-US"/>
        </w:rPr>
        <w:t xml:space="preserve">While he follows Dharmakīrti in the view that all </w:t>
      </w:r>
      <w:r w:rsidR="00632C85">
        <w:rPr>
          <w:rFonts w:ascii="Cambria" w:hAnsi="Cambria"/>
          <w:i/>
          <w:iCs/>
          <w:lang w:val="en-US"/>
        </w:rPr>
        <w:t xml:space="preserve">pramāṇas </w:t>
      </w:r>
      <w:r w:rsidR="00632C85">
        <w:rPr>
          <w:rFonts w:ascii="Cambria" w:hAnsi="Cambria"/>
          <w:iCs/>
          <w:lang w:val="en-US"/>
        </w:rPr>
        <w:t xml:space="preserve">are reducible to perception and inference (not taking others such as testimony and analogy as primitive), </w:t>
      </w:r>
      <w:r w:rsidR="00115CC6">
        <w:rPr>
          <w:rFonts w:ascii="Cambria" w:hAnsi="Cambria"/>
          <w:iCs/>
          <w:lang w:val="en-US"/>
        </w:rPr>
        <w:t xml:space="preserve">he accepts the reciprocal support that </w:t>
      </w:r>
      <w:r w:rsidR="00115CC6">
        <w:rPr>
          <w:rFonts w:ascii="Cambria" w:hAnsi="Cambria"/>
          <w:i/>
          <w:iCs/>
          <w:lang w:val="en-US"/>
        </w:rPr>
        <w:t xml:space="preserve">pramāṇas </w:t>
      </w:r>
      <w:r w:rsidR="00115CC6">
        <w:rPr>
          <w:rFonts w:ascii="Cambria" w:hAnsi="Cambria"/>
          <w:iCs/>
          <w:lang w:val="en-US"/>
        </w:rPr>
        <w:t xml:space="preserve">and </w:t>
      </w:r>
      <w:r w:rsidR="00115CC6">
        <w:rPr>
          <w:rFonts w:ascii="Cambria" w:hAnsi="Cambria"/>
          <w:i/>
          <w:iCs/>
          <w:lang w:val="en-US"/>
        </w:rPr>
        <w:t xml:space="preserve">prameyas </w:t>
      </w:r>
      <w:r w:rsidR="00115CC6">
        <w:rPr>
          <w:rFonts w:ascii="Cambria" w:hAnsi="Cambria"/>
          <w:iCs/>
          <w:lang w:val="en-US"/>
        </w:rPr>
        <w:t xml:space="preserve">offer one another. Warrant is confirmed </w:t>
      </w:r>
      <w:r w:rsidR="00115CC6">
        <w:rPr>
          <w:rFonts w:ascii="Cambria" w:hAnsi="Cambria"/>
          <w:i/>
          <w:iCs/>
          <w:lang w:val="en-US"/>
        </w:rPr>
        <w:t xml:space="preserve">both </w:t>
      </w:r>
      <w:r w:rsidR="00115CC6">
        <w:rPr>
          <w:rFonts w:ascii="Cambria" w:hAnsi="Cambria"/>
          <w:iCs/>
          <w:lang w:val="en-US"/>
        </w:rPr>
        <w:t xml:space="preserve">by support </w:t>
      </w:r>
      <w:r w:rsidR="00115CC6">
        <w:rPr>
          <w:rFonts w:ascii="Cambria" w:hAnsi="Cambria"/>
          <w:i/>
          <w:iCs/>
          <w:lang w:val="en-US"/>
        </w:rPr>
        <w:t xml:space="preserve">and </w:t>
      </w:r>
      <w:r w:rsidR="00115CC6">
        <w:rPr>
          <w:rFonts w:ascii="Cambria" w:hAnsi="Cambria"/>
          <w:iCs/>
          <w:lang w:val="en-US"/>
        </w:rPr>
        <w:t>by the absence of underminers.</w:t>
      </w:r>
    </w:p>
    <w:p w14:paraId="4EC5BDD5" w14:textId="79BB234B" w:rsidR="00C16DBB" w:rsidRDefault="00115CC6" w:rsidP="00F95A94">
      <w:pPr>
        <w:spacing w:after="180" w:line="360" w:lineRule="auto"/>
        <w:ind w:firstLine="720"/>
        <w:rPr>
          <w:rFonts w:ascii="Cambria" w:hAnsi="Cambria"/>
          <w:iCs/>
          <w:lang w:val="en-US"/>
        </w:rPr>
      </w:pPr>
      <w:r>
        <w:rPr>
          <w:rFonts w:ascii="Cambria" w:hAnsi="Cambria"/>
          <w:iCs/>
          <w:lang w:val="en-US"/>
        </w:rPr>
        <w:t xml:space="preserve"> Moreover, while conventional epistemic instruments are reliable </w:t>
      </w:r>
      <w:proofErr w:type="gramStart"/>
      <w:r>
        <w:rPr>
          <w:rFonts w:ascii="Cambria" w:hAnsi="Cambria"/>
          <w:iCs/>
          <w:lang w:val="en-US"/>
        </w:rPr>
        <w:t>with regard to</w:t>
      </w:r>
      <w:proofErr w:type="gramEnd"/>
      <w:r>
        <w:rPr>
          <w:rFonts w:ascii="Cambria" w:hAnsi="Cambria"/>
          <w:iCs/>
          <w:lang w:val="en-US"/>
        </w:rPr>
        <w:t xml:space="preserve"> their </w:t>
      </w:r>
      <w:r w:rsidR="00382EE6">
        <w:rPr>
          <w:rFonts w:ascii="Cambria" w:hAnsi="Cambria"/>
          <w:iCs/>
          <w:lang w:val="en-US"/>
        </w:rPr>
        <w:t>apprehended</w:t>
      </w:r>
      <w:r>
        <w:rPr>
          <w:rFonts w:ascii="Cambria" w:hAnsi="Cambria"/>
          <w:iCs/>
          <w:lang w:val="en-US"/>
        </w:rPr>
        <w:t xml:space="preserve"> objects—that is, they accurately present objects to us as beings like us</w:t>
      </w:r>
      <w:r w:rsidR="00382EE6">
        <w:rPr>
          <w:rFonts w:ascii="Cambria" w:hAnsi="Cambria"/>
          <w:iCs/>
          <w:lang w:val="en-US"/>
        </w:rPr>
        <w:t xml:space="preserve"> apprehend them</w:t>
      </w:r>
      <w:r>
        <w:rPr>
          <w:rFonts w:ascii="Cambria" w:hAnsi="Cambria"/>
          <w:iCs/>
          <w:lang w:val="en-US"/>
        </w:rPr>
        <w:t xml:space="preserve">—this is consistent with the fact that they are </w:t>
      </w:r>
      <w:r>
        <w:rPr>
          <w:rFonts w:ascii="Cambria" w:hAnsi="Cambria"/>
          <w:i/>
          <w:iCs/>
          <w:lang w:val="en-US"/>
        </w:rPr>
        <w:t xml:space="preserve">unreliable </w:t>
      </w:r>
      <w:r>
        <w:rPr>
          <w:rFonts w:ascii="Cambria" w:hAnsi="Cambria"/>
          <w:iCs/>
          <w:lang w:val="en-US"/>
        </w:rPr>
        <w:t xml:space="preserve">with regard to their objects’ </w:t>
      </w:r>
      <w:r w:rsidR="00382EE6">
        <w:rPr>
          <w:rFonts w:ascii="Cambria" w:hAnsi="Cambria"/>
          <w:iCs/>
          <w:lang w:val="en-US"/>
        </w:rPr>
        <w:t xml:space="preserve">appearance, or </w:t>
      </w:r>
      <w:r>
        <w:rPr>
          <w:rFonts w:ascii="Cambria" w:hAnsi="Cambria"/>
          <w:iCs/>
          <w:lang w:val="en-US"/>
        </w:rPr>
        <w:t xml:space="preserve">modes of existence: </w:t>
      </w:r>
      <w:r w:rsidR="00382EE6">
        <w:rPr>
          <w:rFonts w:ascii="Cambria" w:hAnsi="Cambria"/>
          <w:iCs/>
          <w:lang w:val="en-US"/>
        </w:rPr>
        <w:t>our conventional objects do not appear to us to be</w:t>
      </w:r>
      <w:r>
        <w:rPr>
          <w:rFonts w:ascii="Cambria" w:hAnsi="Cambria"/>
          <w:iCs/>
          <w:lang w:val="en-US"/>
        </w:rPr>
        <w:t xml:space="preserve"> empty of intrinsic identity and as dependently arisen</w:t>
      </w:r>
      <w:r w:rsidR="00382EE6">
        <w:rPr>
          <w:rFonts w:ascii="Cambria" w:hAnsi="Cambria"/>
          <w:iCs/>
          <w:lang w:val="en-US"/>
        </w:rPr>
        <w:t xml:space="preserve">, </w:t>
      </w:r>
      <w:r w:rsidR="008B384E">
        <w:rPr>
          <w:rFonts w:ascii="Cambria" w:hAnsi="Cambria"/>
          <w:iCs/>
          <w:lang w:val="en-US"/>
        </w:rPr>
        <w:t>although</w:t>
      </w:r>
      <w:r w:rsidR="00382EE6">
        <w:rPr>
          <w:rFonts w:ascii="Cambria" w:hAnsi="Cambria"/>
          <w:iCs/>
          <w:lang w:val="en-US"/>
        </w:rPr>
        <w:t xml:space="preserve"> they are</w:t>
      </w:r>
      <w:r>
        <w:rPr>
          <w:rFonts w:ascii="Cambria" w:hAnsi="Cambria"/>
          <w:iCs/>
          <w:lang w:val="en-US"/>
        </w:rPr>
        <w:t xml:space="preserve">. That is how things are delivered by </w:t>
      </w:r>
      <w:r>
        <w:rPr>
          <w:rFonts w:ascii="Cambria" w:hAnsi="Cambria"/>
          <w:i/>
          <w:iCs/>
          <w:lang w:val="en-US"/>
        </w:rPr>
        <w:t xml:space="preserve">ultimate pramāṇas, </w:t>
      </w:r>
      <w:r>
        <w:rPr>
          <w:rFonts w:ascii="Cambria" w:hAnsi="Cambria"/>
          <w:iCs/>
          <w:lang w:val="en-US"/>
        </w:rPr>
        <w:t xml:space="preserve">which are irrelevant to the conventional </w:t>
      </w:r>
      <w:r>
        <w:rPr>
          <w:rFonts w:ascii="Cambria" w:hAnsi="Cambria"/>
          <w:iCs/>
          <w:lang w:val="en-US"/>
        </w:rPr>
        <w:lastRenderedPageBreak/>
        <w:t>world.</w:t>
      </w:r>
      <w:r w:rsidR="00D45439">
        <w:rPr>
          <w:rFonts w:ascii="Cambria" w:hAnsi="Cambria"/>
          <w:iCs/>
          <w:lang w:val="en-US"/>
        </w:rPr>
        <w:t xml:space="preserve">  And the fact that there is a difference between conventional truth and conventional falsity, as well as one between warranted and unwarranted assertion means that the category of knowledge is contentful, even at the conventional level, even if the subjective states that encode it as well as the objects it delivers are ultimately empty and deceptive.</w:t>
      </w:r>
      <w:r w:rsidR="008B384E">
        <w:rPr>
          <w:rFonts w:ascii="Cambria" w:hAnsi="Cambria"/>
          <w:iCs/>
          <w:lang w:val="en-US"/>
        </w:rPr>
        <w:t xml:space="preserve">  Even if an apple and an armadillo are each ultimately empty, it is nonetheless conventionally true that one is a fruit and the other an animal, and we have the means to come to know that. This is how Tsongkhapa understands Candrakīrti’s insistence that a Prāsaṅgika follows mundane epistemic practices in the world.</w:t>
      </w:r>
    </w:p>
    <w:p w14:paraId="30A7A364" w14:textId="77C8571D" w:rsidR="006A35AF" w:rsidRPr="008D3792" w:rsidRDefault="00D45439" w:rsidP="00F95A94">
      <w:pPr>
        <w:spacing w:after="180" w:line="360" w:lineRule="auto"/>
        <w:ind w:firstLine="720"/>
        <w:rPr>
          <w:rFonts w:ascii="Cambria" w:hAnsi="Cambria"/>
          <w:lang w:val="en-US"/>
        </w:rPr>
      </w:pPr>
      <w:r>
        <w:rPr>
          <w:rFonts w:ascii="Cambria" w:hAnsi="Cambria"/>
          <w:iCs/>
          <w:lang w:val="en-US"/>
        </w:rPr>
        <w:t xml:space="preserve">Khedrup-jé follows Tsongkhapa in this acceptance </w:t>
      </w:r>
      <w:proofErr w:type="gramStart"/>
      <w:r>
        <w:rPr>
          <w:rFonts w:ascii="Cambria" w:hAnsi="Cambria"/>
          <w:iCs/>
          <w:lang w:val="en-US"/>
        </w:rPr>
        <w:t>both of the reality</w:t>
      </w:r>
      <w:proofErr w:type="gramEnd"/>
      <w:r>
        <w:rPr>
          <w:rFonts w:ascii="Cambria" w:hAnsi="Cambria"/>
          <w:iCs/>
          <w:lang w:val="en-US"/>
        </w:rPr>
        <w:t xml:space="preserve"> of the conventional world and of our ability to know it. </w:t>
      </w:r>
      <w:r w:rsidR="008B384E">
        <w:rPr>
          <w:rFonts w:ascii="Cambria" w:hAnsi="Cambria"/>
          <w:iCs/>
          <w:lang w:val="en-US"/>
        </w:rPr>
        <w:t xml:space="preserve">And he points out that this is not simply to accept </w:t>
      </w:r>
      <w:r w:rsidR="008B384E">
        <w:rPr>
          <w:rFonts w:ascii="Cambria" w:hAnsi="Cambria"/>
          <w:i/>
          <w:lang w:val="en-US"/>
        </w:rPr>
        <w:t xml:space="preserve">everything </w:t>
      </w:r>
      <w:r w:rsidR="008B384E">
        <w:rPr>
          <w:rFonts w:ascii="Cambria" w:hAnsi="Cambria"/>
          <w:lang w:val="en-US"/>
        </w:rPr>
        <w:t xml:space="preserve">that </w:t>
      </w:r>
      <w:r w:rsidR="008B384E">
        <w:rPr>
          <w:rFonts w:ascii="Cambria" w:hAnsi="Cambria"/>
          <w:i/>
          <w:lang w:val="en-US"/>
        </w:rPr>
        <w:t xml:space="preserve">anyone </w:t>
      </w:r>
      <w:r w:rsidR="008B384E">
        <w:rPr>
          <w:rFonts w:ascii="Cambria" w:hAnsi="Cambria"/>
          <w:lang w:val="en-US"/>
        </w:rPr>
        <w:t>might say.  He write</w:t>
      </w:r>
      <w:r w:rsidR="00D9621F">
        <w:rPr>
          <w:rFonts w:ascii="Cambria" w:hAnsi="Cambria"/>
          <w:lang w:val="en-US"/>
        </w:rPr>
        <w:t>s</w:t>
      </w:r>
      <w:r w:rsidR="008B384E">
        <w:rPr>
          <w:rFonts w:ascii="Cambria" w:hAnsi="Cambria"/>
          <w:lang w:val="en-US"/>
        </w:rPr>
        <w:t xml:space="preserve"> that it is erroneous to say that “to follow mundane practice” means “to accept what ordinary idiots who are ignorant of philosophy accept.” </w:t>
      </w:r>
      <w:r w:rsidR="00D9621F">
        <w:rPr>
          <w:rFonts w:ascii="Cambria" w:hAnsi="Cambria"/>
          <w:lang w:val="en-US"/>
        </w:rPr>
        <w:t>(</w:t>
      </w:r>
      <w:r w:rsidR="000D72C6">
        <w:rPr>
          <w:rFonts w:ascii="Cambria" w:hAnsi="Cambria"/>
          <w:lang w:val="en-US"/>
        </w:rPr>
        <w:t>Yakherds 2021</w:t>
      </w:r>
      <w:r w:rsidR="00D9621F">
        <w:rPr>
          <w:rFonts w:ascii="Cambria" w:hAnsi="Cambria"/>
          <w:lang w:val="en-US"/>
        </w:rPr>
        <w:t xml:space="preserve"> v. 1, p. 96</w:t>
      </w:r>
      <w:proofErr w:type="gramStart"/>
      <w:r w:rsidR="00D9621F">
        <w:rPr>
          <w:rFonts w:ascii="Cambria" w:hAnsi="Cambria"/>
          <w:lang w:val="en-US"/>
        </w:rPr>
        <w:t>)  There</w:t>
      </w:r>
      <w:proofErr w:type="gramEnd"/>
      <w:r w:rsidR="00D9621F">
        <w:rPr>
          <w:rFonts w:ascii="Cambria" w:hAnsi="Cambria"/>
          <w:lang w:val="en-US"/>
        </w:rPr>
        <w:t xml:space="preserve"> is a difference between getting it right an getting it wrong conventionally, and a difference between a statement that is warranted conventionally and one that is not.  The fact that knowledge is a self-correcting structure, including not only awareness of facts but also justificatory competence in which corroboration strengthens warrant and conflict diminishes it means that there are better and worse knowers, and a competent knower is one who wields the </w:t>
      </w:r>
      <w:r w:rsidR="00D9621F">
        <w:rPr>
          <w:rFonts w:ascii="Cambria" w:hAnsi="Cambria"/>
          <w:i/>
          <w:lang w:val="en-US"/>
        </w:rPr>
        <w:t xml:space="preserve">pramāṇas </w:t>
      </w:r>
      <w:r w:rsidR="00C750BA">
        <w:rPr>
          <w:rFonts w:ascii="Cambria" w:hAnsi="Cambria"/>
          <w:lang w:val="en-US"/>
        </w:rPr>
        <w:t xml:space="preserve">skillfully.  </w:t>
      </w:r>
      <w:proofErr w:type="spellStart"/>
      <w:r w:rsidR="00C750BA">
        <w:rPr>
          <w:rFonts w:ascii="Cambria" w:hAnsi="Cambria"/>
          <w:lang w:val="en-US"/>
        </w:rPr>
        <w:t>Khederup-jé</w:t>
      </w:r>
      <w:proofErr w:type="spellEnd"/>
      <w:r w:rsidR="00C750BA">
        <w:rPr>
          <w:rFonts w:ascii="Cambria" w:hAnsi="Cambria"/>
          <w:lang w:val="en-US"/>
        </w:rPr>
        <w:t xml:space="preserve"> defines a warrant as “a cognitive act that is not deceptive with respect to its apprehended object.”  </w:t>
      </w:r>
      <w:r w:rsidR="008D3792">
        <w:rPr>
          <w:rFonts w:ascii="Cambria" w:hAnsi="Cambria"/>
          <w:lang w:val="en-US"/>
        </w:rPr>
        <w:t>(</w:t>
      </w:r>
      <w:r w:rsidR="008D3792">
        <w:rPr>
          <w:rFonts w:ascii="Cambria" w:hAnsi="Cambria"/>
          <w:i/>
          <w:lang w:val="en-US"/>
        </w:rPr>
        <w:t xml:space="preserve">Ibid., </w:t>
      </w:r>
      <w:r w:rsidR="008D3792">
        <w:rPr>
          <w:rFonts w:ascii="Cambria" w:hAnsi="Cambria"/>
          <w:lang w:val="en-US"/>
        </w:rPr>
        <w:t>97)</w:t>
      </w:r>
    </w:p>
    <w:p w14:paraId="5E5FEA15" w14:textId="23F78471" w:rsidR="00115CC6" w:rsidRDefault="001F4368" w:rsidP="00F95A94">
      <w:pPr>
        <w:spacing w:after="180" w:line="360" w:lineRule="auto"/>
        <w:ind w:firstLine="720"/>
        <w:rPr>
          <w:rFonts w:ascii="Cambria" w:hAnsi="Cambria"/>
          <w:lang w:val="en-US"/>
        </w:rPr>
      </w:pPr>
      <w:r>
        <w:rPr>
          <w:rFonts w:ascii="Cambria" w:hAnsi="Cambria"/>
          <w:lang w:val="en-US"/>
        </w:rPr>
        <w:t>An act</w:t>
      </w:r>
      <w:r w:rsidR="006A35AF">
        <w:rPr>
          <w:rFonts w:ascii="Cambria" w:hAnsi="Cambria"/>
          <w:lang w:val="en-US"/>
        </w:rPr>
        <w:t xml:space="preserve">, he </w:t>
      </w:r>
      <w:r w:rsidR="000B6514">
        <w:rPr>
          <w:rFonts w:ascii="Cambria" w:hAnsi="Cambria"/>
          <w:lang w:val="en-US"/>
        </w:rPr>
        <w:t>argues, can</w:t>
      </w:r>
      <w:r>
        <w:rPr>
          <w:rFonts w:ascii="Cambria" w:hAnsi="Cambria"/>
          <w:lang w:val="en-US"/>
        </w:rPr>
        <w:t xml:space="preserve"> be nondeceptive with respect to an apprehended object while still being deceptive with respect to the way it appears.  </w:t>
      </w:r>
      <w:r w:rsidR="000B6514">
        <w:rPr>
          <w:rFonts w:ascii="Cambria" w:hAnsi="Cambria"/>
          <w:lang w:val="en-US"/>
        </w:rPr>
        <w:t>Imagine being in a restaurant with a mirrored wall, waiting for your friend.  You look for a moment at the mirror to your right and see them entering the door, but you take yourself to be seeing them directly and wave in the direction of the mirror while they are to your left. You were correct—and warranted—in your belief that your friend entered the restaurant, but you are deceived with respect to how they appeared to you. They are on your left, not behind the mirror.  Just so, when you see the apple and know that it is an apple, not an armadillo, despite taking it to be intrinsically existent, and not merely conventionally real. (</w:t>
      </w:r>
      <w:r w:rsidR="000B6514">
        <w:rPr>
          <w:rFonts w:ascii="Cambria" w:hAnsi="Cambria"/>
          <w:i/>
          <w:lang w:val="en-US"/>
        </w:rPr>
        <w:t xml:space="preserve">Ibid., </w:t>
      </w:r>
      <w:r w:rsidR="000B6514">
        <w:rPr>
          <w:rFonts w:ascii="Cambria" w:hAnsi="Cambria"/>
          <w:lang w:val="en-US"/>
        </w:rPr>
        <w:t>pp. 97-99)</w:t>
      </w:r>
    </w:p>
    <w:p w14:paraId="69A0BA91" w14:textId="625C71A0" w:rsidR="00B233FD" w:rsidRPr="000B6514" w:rsidRDefault="00B233FD" w:rsidP="00F95A94">
      <w:pPr>
        <w:spacing w:after="180" w:line="360" w:lineRule="auto"/>
        <w:ind w:firstLine="720"/>
        <w:rPr>
          <w:rFonts w:ascii="Cambria" w:hAnsi="Cambria"/>
          <w:lang w:val="en-US"/>
        </w:rPr>
      </w:pPr>
      <w:r>
        <w:rPr>
          <w:rFonts w:ascii="Cambria" w:hAnsi="Cambria"/>
          <w:lang w:val="en-US"/>
        </w:rPr>
        <w:lastRenderedPageBreak/>
        <w:t xml:space="preserve">This view makes room for epistemic warrant and hence for knowledge, and a robust distinction between truth and falsity within the Prāsaṅgika tradition. And it does so while eschewing foundationalism, offering an analysis of knowledge in the context of error, an analysis that also makes sense of our practices of justification and correction. On the Geluk understanding this is important because the path to awakening must begin in </w:t>
      </w:r>
      <w:proofErr w:type="gramStart"/>
      <w:r>
        <w:rPr>
          <w:rFonts w:ascii="Cambria" w:hAnsi="Cambria"/>
          <w:lang w:val="en-US"/>
        </w:rPr>
        <w:t>samsara, and</w:t>
      </w:r>
      <w:proofErr w:type="gramEnd"/>
      <w:r>
        <w:rPr>
          <w:rFonts w:ascii="Cambria" w:hAnsi="Cambria"/>
          <w:lang w:val="en-US"/>
        </w:rPr>
        <w:t xml:space="preserve"> must rely on developing a steadily deeper conceptual understanding of dependent origination and emptiness in order to warrant </w:t>
      </w:r>
      <w:r w:rsidR="00BD6BBB">
        <w:rPr>
          <w:rFonts w:ascii="Cambria" w:hAnsi="Cambria"/>
          <w:lang w:val="en-US"/>
        </w:rPr>
        <w:t>the perception of the ultimate when that occurs.  The conceptualized apprehension of the ultimate and the nonconceptualized realization of a buddha take the same object, only in different modes of presentation. So, on this view, it is important antecedently to understand emptiness so that we will we know it when we see it.</w:t>
      </w:r>
      <w:r w:rsidR="008D3792">
        <w:rPr>
          <w:rFonts w:ascii="Cambria" w:hAnsi="Cambria"/>
          <w:lang w:val="en-US"/>
        </w:rPr>
        <w:t xml:space="preserve">  This provides the solution to the problem of the achievement of awakening using defective cognitive faculties: the use of those faculties hones them and bring us closer and closer to a discursive understanding of the truth; that discursive understanding allows us to recognize that truth when we glimpse it in meditative </w:t>
      </w:r>
      <w:proofErr w:type="gramStart"/>
      <w:r w:rsidR="008D3792">
        <w:rPr>
          <w:rFonts w:ascii="Cambria" w:hAnsi="Cambria"/>
          <w:lang w:val="en-US"/>
        </w:rPr>
        <w:t>practice, and</w:t>
      </w:r>
      <w:proofErr w:type="gramEnd"/>
      <w:r w:rsidR="008D3792">
        <w:rPr>
          <w:rFonts w:ascii="Cambria" w:hAnsi="Cambria"/>
          <w:lang w:val="en-US"/>
        </w:rPr>
        <w:t xml:space="preserve"> allows that perception to be integrated into knowledge subsequent to meditative equipoise.</w:t>
      </w:r>
    </w:p>
    <w:p w14:paraId="4FA97612" w14:textId="6EAF19AA" w:rsidR="00E95E25" w:rsidRPr="00F95A94" w:rsidRDefault="00F74F95" w:rsidP="008D3792">
      <w:pPr>
        <w:keepNext/>
        <w:spacing w:before="60"/>
        <w:rPr>
          <w:rFonts w:ascii="Cambria" w:hAnsi="Cambria"/>
          <w:b/>
          <w:lang w:val="en-US"/>
        </w:rPr>
      </w:pPr>
      <w:r>
        <w:rPr>
          <w:rFonts w:ascii="Cambria" w:hAnsi="Cambria"/>
          <w:b/>
          <w:lang w:val="en-US"/>
        </w:rPr>
        <w:t>2</w:t>
      </w:r>
      <w:r w:rsidR="00E95E25" w:rsidRPr="00F95A94">
        <w:rPr>
          <w:rFonts w:ascii="Cambria" w:hAnsi="Cambria"/>
          <w:b/>
          <w:lang w:val="en-US"/>
        </w:rPr>
        <w:t>.  Taktsang’s Critique</w:t>
      </w:r>
    </w:p>
    <w:p w14:paraId="3E837DC3" w14:textId="281821C4" w:rsidR="00F95A94" w:rsidRDefault="00873310" w:rsidP="00504B17">
      <w:pPr>
        <w:spacing w:after="180" w:line="360" w:lineRule="auto"/>
        <w:rPr>
          <w:rFonts w:ascii="Cambria" w:hAnsi="Cambria"/>
          <w:lang w:val="en-US"/>
        </w:rPr>
      </w:pPr>
      <w:proofErr w:type="spellStart"/>
      <w:r>
        <w:rPr>
          <w:rFonts w:ascii="Cambria" w:hAnsi="Cambria"/>
          <w:lang w:val="en-US"/>
        </w:rPr>
        <w:t>Takstang</w:t>
      </w:r>
      <w:proofErr w:type="spellEnd"/>
      <w:r>
        <w:rPr>
          <w:rFonts w:ascii="Cambria" w:hAnsi="Cambria"/>
          <w:lang w:val="en-US"/>
        </w:rPr>
        <w:t xml:space="preserve"> Lotsawa rejects this understanding of Prāsaṅgika entirely. </w:t>
      </w:r>
      <w:r w:rsidR="00504B17">
        <w:rPr>
          <w:rFonts w:ascii="Cambria" w:hAnsi="Cambria"/>
          <w:lang w:val="en-US"/>
        </w:rPr>
        <w:t xml:space="preserve">In the section of </w:t>
      </w:r>
      <w:r w:rsidR="00504B17">
        <w:rPr>
          <w:rFonts w:ascii="Cambria" w:hAnsi="Cambria"/>
          <w:i/>
          <w:lang w:val="en-US"/>
        </w:rPr>
        <w:t xml:space="preserve">Freedom from Extremes </w:t>
      </w:r>
      <w:r w:rsidR="00504B17">
        <w:rPr>
          <w:rFonts w:ascii="Cambria" w:hAnsi="Cambria"/>
          <w:lang w:val="en-US"/>
        </w:rPr>
        <w:t>devoted to the eighteen great contradictions, he raises the following critiques:</w:t>
      </w:r>
    </w:p>
    <w:p w14:paraId="40D4130D" w14:textId="36850A63" w:rsidR="00061A89" w:rsidRDefault="00061A89" w:rsidP="003A0ACC">
      <w:pPr>
        <w:ind w:left="720" w:right="662"/>
        <w:rPr>
          <w:rFonts w:ascii="Times New Roman" w:eastAsia="Times New Roman" w:hAnsi="Times New Roman" w:cs="Times New Roman"/>
          <w:szCs w:val="24"/>
          <w:lang w:eastAsia="en-GB" w:bidi="he-IL"/>
        </w:rPr>
      </w:pPr>
      <w:r w:rsidRPr="003A0ACC">
        <w:rPr>
          <w:rFonts w:ascii="Cambria" w:hAnsi="Cambria" w:cs="Minion Pro"/>
          <w:color w:val="211D1E"/>
          <w:szCs w:val="24"/>
        </w:rPr>
        <w:t xml:space="preserve">They </w:t>
      </w:r>
      <w:r w:rsidRPr="003A0ACC">
        <w:rPr>
          <w:rFonts w:ascii="Times New Roman" w:eastAsia="Times New Roman" w:hAnsi="Times New Roman" w:cs="Times New Roman"/>
          <w:szCs w:val="24"/>
          <w:lang w:eastAsia="en-GB" w:bidi="he-IL"/>
        </w:rPr>
        <w:t>might reply that they do not accept foundations. But not being foundational contradicts being epistemically warranted; for to be epistemi</w:t>
      </w:r>
      <w:r w:rsidRPr="003A0ACC">
        <w:rPr>
          <w:rFonts w:ascii="Times New Roman" w:eastAsia="Times New Roman" w:hAnsi="Times New Roman" w:cs="Times New Roman"/>
          <w:szCs w:val="24"/>
          <w:lang w:eastAsia="en-GB" w:bidi="he-IL"/>
        </w:rPr>
        <w:softHyphen/>
        <w:t>cally warranted means to be nondeceptive, and being nondeceptive means nothing more than being foundational. (</w:t>
      </w:r>
      <w:r w:rsidR="000D72C6">
        <w:rPr>
          <w:rFonts w:ascii="Times New Roman" w:eastAsia="Times New Roman" w:hAnsi="Times New Roman" w:cs="Times New Roman"/>
          <w:szCs w:val="24"/>
          <w:lang w:eastAsia="en-GB" w:bidi="he-IL"/>
        </w:rPr>
        <w:t>Yakherds 2021</w:t>
      </w:r>
      <w:r w:rsidRPr="003A0ACC">
        <w:rPr>
          <w:rFonts w:ascii="Times New Roman" w:eastAsia="Times New Roman" w:hAnsi="Times New Roman" w:cs="Times New Roman"/>
          <w:szCs w:val="24"/>
          <w:lang w:eastAsia="en-GB" w:bidi="he-IL"/>
        </w:rPr>
        <w:t>, v. 22, p. 25)</w:t>
      </w:r>
    </w:p>
    <w:p w14:paraId="7B60B5A2" w14:textId="482511F2" w:rsidR="003A0ACC" w:rsidRDefault="003A0ACC" w:rsidP="003A0ACC">
      <w:pPr>
        <w:ind w:left="720" w:right="662"/>
        <w:rPr>
          <w:rFonts w:ascii="Times New Roman" w:eastAsia="Times New Roman" w:hAnsi="Times New Roman" w:cs="Times New Roman"/>
          <w:szCs w:val="24"/>
          <w:lang w:eastAsia="en-GB" w:bidi="he-IL"/>
        </w:rPr>
      </w:pPr>
    </w:p>
    <w:p w14:paraId="43F5C125" w14:textId="772FCF28" w:rsidR="003A0ACC" w:rsidRPr="003A0ACC" w:rsidRDefault="003A0ACC" w:rsidP="00EA4ACE">
      <w:pPr>
        <w:spacing w:after="180" w:line="360" w:lineRule="auto"/>
        <w:rPr>
          <w:rFonts w:ascii="Times New Roman" w:eastAsia="Times New Roman" w:hAnsi="Times New Roman" w:cs="Times New Roman"/>
          <w:szCs w:val="24"/>
          <w:lang w:eastAsia="en-GB" w:bidi="he-IL"/>
        </w:rPr>
      </w:pPr>
      <w:r>
        <w:rPr>
          <w:rFonts w:ascii="Cambria" w:hAnsi="Cambria"/>
          <w:lang w:val="en-US"/>
        </w:rPr>
        <w:t xml:space="preserve">Here Taktsang identifies epistemic warrant with foundational status, explicitly committing himself to foundationalism.  He thus claims that Tsongkhapa and Khedrup-jé are inconsistent when they argue that we can have warrant without foundations.  This is one of the two principal </w:t>
      </w:r>
      <w:r w:rsidR="00EA4ACE">
        <w:rPr>
          <w:rFonts w:ascii="Cambria" w:hAnsi="Cambria"/>
          <w:lang w:val="en-US"/>
        </w:rPr>
        <w:t>grounds of his critique of their account of Prāsaṅgika epistemology.  The next passages articulate the second ground:</w:t>
      </w:r>
    </w:p>
    <w:p w14:paraId="7469F843" w14:textId="1C8C9FFB" w:rsidR="00504B17" w:rsidRDefault="00FB78E5" w:rsidP="003A0ACC">
      <w:pPr>
        <w:ind w:left="720" w:right="662"/>
        <w:rPr>
          <w:rFonts w:ascii="Times New Roman" w:eastAsia="Times New Roman" w:hAnsi="Times New Roman" w:cs="Times New Roman"/>
          <w:szCs w:val="24"/>
          <w:lang w:eastAsia="en-GB" w:bidi="he-IL"/>
        </w:rPr>
      </w:pPr>
      <w:r w:rsidRPr="003A0ACC">
        <w:rPr>
          <w:rFonts w:ascii="Times New Roman" w:eastAsia="Times New Roman" w:hAnsi="Times New Roman" w:cs="Times New Roman"/>
          <w:i/>
          <w:szCs w:val="24"/>
          <w:lang w:eastAsia="en-GB" w:bidi="he-IL"/>
        </w:rPr>
        <w:t>All objects being false contradicts their subjects being non-deceptive</w:t>
      </w:r>
      <w:r w:rsidRPr="003A0ACC">
        <w:rPr>
          <w:rFonts w:ascii="Times New Roman" w:eastAsia="Times New Roman" w:hAnsi="Times New Roman" w:cs="Times New Roman"/>
          <w:szCs w:val="24"/>
          <w:lang w:eastAsia="en-GB" w:bidi="he-IL"/>
        </w:rPr>
        <w:t>. [13a]</w:t>
      </w:r>
    </w:p>
    <w:p w14:paraId="59E231B4" w14:textId="77777777" w:rsidR="003A0ACC" w:rsidRPr="003A0ACC" w:rsidRDefault="003A0ACC" w:rsidP="003A0ACC">
      <w:pPr>
        <w:ind w:left="720" w:right="662"/>
        <w:rPr>
          <w:rFonts w:ascii="Times New Roman" w:eastAsia="Times New Roman" w:hAnsi="Times New Roman" w:cs="Times New Roman"/>
          <w:szCs w:val="24"/>
          <w:lang w:eastAsia="en-GB" w:bidi="he-IL"/>
        </w:rPr>
      </w:pPr>
    </w:p>
    <w:p w14:paraId="7B3F9750" w14:textId="1603A854" w:rsidR="00FB78E5" w:rsidRDefault="00FB78E5" w:rsidP="003A0ACC">
      <w:pPr>
        <w:ind w:left="720" w:right="662"/>
        <w:rPr>
          <w:rFonts w:ascii="Times New Roman" w:eastAsia="Times New Roman" w:hAnsi="Times New Roman" w:cs="Times New Roman"/>
          <w:szCs w:val="24"/>
          <w:lang w:eastAsia="en-GB" w:bidi="he-IL"/>
        </w:rPr>
      </w:pPr>
      <w:r w:rsidRPr="003A0ACC">
        <w:rPr>
          <w:rFonts w:ascii="Times New Roman" w:eastAsia="Times New Roman" w:hAnsi="Times New Roman" w:cs="Times New Roman"/>
          <w:szCs w:val="24"/>
          <w:lang w:eastAsia="en-GB" w:bidi="he-IL"/>
        </w:rPr>
        <w:lastRenderedPageBreak/>
        <w:t xml:space="preserve">…[I]t is contradictory to hold on the one hand that all </w:t>
      </w:r>
      <w:r w:rsidR="00485B2D" w:rsidRPr="003A0ACC">
        <w:rPr>
          <w:rFonts w:ascii="Times New Roman" w:eastAsia="Times New Roman" w:hAnsi="Times New Roman" w:cs="Times New Roman"/>
          <w:szCs w:val="24"/>
          <w:lang w:eastAsia="en-GB" w:bidi="he-IL"/>
        </w:rPr>
        <w:t>the relative objects are false and on the other hand that the cognitions that are their subjects can be nondeceptive and epistemically warranting. This is because when an object is a deceptive phenomenon, its cognition cannot possibly be an epistemic warrant.  (</w:t>
      </w:r>
      <w:r w:rsidR="00061A89" w:rsidRPr="003A0ACC">
        <w:rPr>
          <w:rFonts w:ascii="Times New Roman" w:eastAsia="Times New Roman" w:hAnsi="Times New Roman" w:cs="Times New Roman"/>
          <w:szCs w:val="24"/>
          <w:lang w:eastAsia="en-GB" w:bidi="he-IL"/>
        </w:rPr>
        <w:t>Ibid.</w:t>
      </w:r>
      <w:r w:rsidR="00485B2D" w:rsidRPr="003A0ACC">
        <w:rPr>
          <w:rFonts w:ascii="Times New Roman" w:eastAsia="Times New Roman" w:hAnsi="Times New Roman" w:cs="Times New Roman"/>
          <w:szCs w:val="24"/>
          <w:lang w:eastAsia="en-GB" w:bidi="he-IL"/>
        </w:rPr>
        <w:t>, pp, 33-34)</w:t>
      </w:r>
    </w:p>
    <w:p w14:paraId="255D622E" w14:textId="0A8C3304" w:rsidR="003A0ACC" w:rsidRDefault="003A0ACC" w:rsidP="003A0ACC">
      <w:pPr>
        <w:ind w:left="720" w:right="662"/>
        <w:rPr>
          <w:rFonts w:ascii="Times New Roman" w:eastAsia="Times New Roman" w:hAnsi="Times New Roman" w:cs="Times New Roman"/>
          <w:szCs w:val="24"/>
          <w:lang w:eastAsia="en-GB" w:bidi="he-IL"/>
        </w:rPr>
      </w:pPr>
    </w:p>
    <w:p w14:paraId="3F8DCBB0" w14:textId="00E12DBC" w:rsidR="003A0ACC" w:rsidRPr="003A0ACC" w:rsidRDefault="00EA4ACE" w:rsidP="003A0ACC">
      <w:pPr>
        <w:spacing w:after="180" w:line="360" w:lineRule="auto"/>
        <w:rPr>
          <w:rFonts w:ascii="Cambria" w:hAnsi="Cambria"/>
          <w:lang w:val="en-US"/>
        </w:rPr>
      </w:pPr>
      <w:r>
        <w:rPr>
          <w:rFonts w:ascii="Cambria" w:hAnsi="Cambria"/>
          <w:lang w:val="en-US"/>
        </w:rPr>
        <w:t xml:space="preserve">Here </w:t>
      </w:r>
      <w:proofErr w:type="spellStart"/>
      <w:r>
        <w:rPr>
          <w:rFonts w:ascii="Cambria" w:hAnsi="Cambria"/>
          <w:lang w:val="en-US"/>
        </w:rPr>
        <w:t>Takstang</w:t>
      </w:r>
      <w:proofErr w:type="spellEnd"/>
      <w:r>
        <w:rPr>
          <w:rFonts w:ascii="Cambria" w:hAnsi="Cambria"/>
          <w:lang w:val="en-US"/>
        </w:rPr>
        <w:t xml:space="preserve"> argues that the deceptiveness of conventional phenomena entails that any subjective epistemic state that apprehends them is mistaken. But a state that is mistaken fails both to be true and to be justified or justificatory. Hence know knowledge of conventional objects is possible.  We might see this argument as a version of the negative phase of Pyrrhonian skepticism without an embrace of its positive phase in the form of the “fourfold prescription.”</w:t>
      </w:r>
      <w:r w:rsidR="00FA1A14">
        <w:rPr>
          <w:rFonts w:ascii="Cambria" w:hAnsi="Cambria"/>
          <w:lang w:val="en-US"/>
        </w:rPr>
        <w:t xml:space="preserve">  </w:t>
      </w:r>
      <w:r w:rsidR="00090FF3">
        <w:rPr>
          <w:rFonts w:ascii="Cambria" w:hAnsi="Cambria"/>
          <w:lang w:val="en-US"/>
        </w:rPr>
        <w:t xml:space="preserve">(See Dreyfus and Garfield 2010, 2022.) </w:t>
      </w:r>
      <w:r w:rsidR="00FA1A14">
        <w:rPr>
          <w:rFonts w:ascii="Cambria" w:hAnsi="Cambria"/>
          <w:lang w:val="en-US"/>
        </w:rPr>
        <w:t>This critique continues in the second line of verse 13 and its commentary:</w:t>
      </w:r>
    </w:p>
    <w:p w14:paraId="5738DAE7" w14:textId="6411EA80" w:rsidR="00485B2D" w:rsidRDefault="00485B2D" w:rsidP="003A0ACC">
      <w:pPr>
        <w:ind w:left="720" w:right="662"/>
        <w:rPr>
          <w:rFonts w:ascii="Times New Roman" w:eastAsia="Times New Roman" w:hAnsi="Times New Roman" w:cs="Times New Roman"/>
          <w:szCs w:val="24"/>
          <w:lang w:eastAsia="en-GB" w:bidi="he-IL"/>
        </w:rPr>
      </w:pPr>
      <w:r w:rsidRPr="003A0ACC">
        <w:rPr>
          <w:rFonts w:ascii="Times New Roman" w:eastAsia="Times New Roman" w:hAnsi="Times New Roman" w:cs="Times New Roman"/>
          <w:i/>
          <w:szCs w:val="24"/>
          <w:lang w:eastAsia="en-GB" w:bidi="he-IL"/>
        </w:rPr>
        <w:t>Being in error about an object contradicts being an epistemic warrant for it</w:t>
      </w:r>
      <w:r w:rsidRPr="003A0ACC">
        <w:rPr>
          <w:rFonts w:ascii="Times New Roman" w:eastAsia="Times New Roman" w:hAnsi="Times New Roman" w:cs="Times New Roman"/>
          <w:szCs w:val="24"/>
          <w:lang w:eastAsia="en-GB" w:bidi="he-IL"/>
        </w:rPr>
        <w:t>. [13b] (Ibid. p. 34)</w:t>
      </w:r>
    </w:p>
    <w:p w14:paraId="053C9FBA" w14:textId="77777777" w:rsidR="003A0ACC" w:rsidRPr="003A0ACC" w:rsidRDefault="003A0ACC" w:rsidP="00FA1A14">
      <w:pPr>
        <w:ind w:right="662"/>
        <w:rPr>
          <w:rFonts w:ascii="Times New Roman" w:eastAsia="Times New Roman" w:hAnsi="Times New Roman" w:cs="Times New Roman"/>
          <w:szCs w:val="24"/>
          <w:lang w:eastAsia="en-GB" w:bidi="he-IL"/>
        </w:rPr>
      </w:pPr>
    </w:p>
    <w:p w14:paraId="3B5899CA" w14:textId="111A3DAD" w:rsidR="00485B2D" w:rsidRDefault="00485B2D" w:rsidP="003A0ACC">
      <w:pPr>
        <w:ind w:left="720" w:right="662"/>
        <w:rPr>
          <w:rFonts w:ascii="Cambria" w:hAnsi="Cambria"/>
          <w:lang w:val="en-US"/>
        </w:rPr>
      </w:pPr>
      <w:r w:rsidRPr="003A0ACC">
        <w:rPr>
          <w:rFonts w:ascii="Times New Roman" w:eastAsia="Times New Roman" w:hAnsi="Times New Roman" w:cs="Times New Roman"/>
          <w:szCs w:val="24"/>
          <w:lang w:eastAsia="en-GB" w:bidi="he-IL"/>
        </w:rPr>
        <w:t xml:space="preserve">…[W]hen someone says, “Even ordinary people understand that things arise from other things,”…. Candrakīrti replies: </w:t>
      </w:r>
      <w:r w:rsidR="004557ED" w:rsidRPr="003A0ACC">
        <w:rPr>
          <w:rFonts w:ascii="Times New Roman" w:eastAsia="Times New Roman" w:hAnsi="Times New Roman" w:cs="Times New Roman"/>
          <w:szCs w:val="24"/>
          <w:lang w:eastAsia="en-GB" w:bidi="he-IL"/>
        </w:rPr>
        <w:t xml:space="preserve">“It is not reasonable to refer to fools as epistemic warrants.”  This means that in general, in our own Madhyamaka system, these are not epistemic </w:t>
      </w:r>
      <w:r w:rsidR="00B00953" w:rsidRPr="003A0ACC">
        <w:rPr>
          <w:rFonts w:ascii="Times New Roman" w:eastAsia="Times New Roman" w:hAnsi="Times New Roman" w:cs="Times New Roman"/>
          <w:szCs w:val="24"/>
          <w:lang w:eastAsia="en-GB" w:bidi="he-IL"/>
        </w:rPr>
        <w:t>warrants</w:t>
      </w:r>
      <w:r w:rsidR="004557ED" w:rsidRPr="003A0ACC">
        <w:rPr>
          <w:rFonts w:ascii="Times New Roman" w:eastAsia="Times New Roman" w:hAnsi="Times New Roman" w:cs="Times New Roman"/>
          <w:szCs w:val="24"/>
          <w:lang w:eastAsia="en-GB" w:bidi="he-IL"/>
        </w:rPr>
        <w:t xml:space="preserve"> with respect to either of the two truths.” (Ibid.,</w:t>
      </w:r>
      <w:r w:rsidR="008D3792">
        <w:rPr>
          <w:rFonts w:ascii="Times New Roman" w:eastAsia="Times New Roman" w:hAnsi="Times New Roman" w:cs="Times New Roman"/>
          <w:szCs w:val="24"/>
          <w:lang w:eastAsia="en-GB" w:bidi="he-IL"/>
        </w:rPr>
        <w:t> </w:t>
      </w:r>
      <w:r w:rsidR="004557ED" w:rsidRPr="003A0ACC">
        <w:rPr>
          <w:rFonts w:ascii="Times New Roman" w:eastAsia="Times New Roman" w:hAnsi="Times New Roman" w:cs="Times New Roman"/>
          <w:szCs w:val="24"/>
          <w:lang w:eastAsia="en-GB" w:bidi="he-IL"/>
        </w:rPr>
        <w:t>p.</w:t>
      </w:r>
      <w:r w:rsidR="008D3792">
        <w:rPr>
          <w:rFonts w:ascii="Times New Roman" w:eastAsia="Times New Roman" w:hAnsi="Times New Roman" w:cs="Times New Roman"/>
          <w:szCs w:val="24"/>
          <w:lang w:eastAsia="en-GB" w:bidi="he-IL"/>
        </w:rPr>
        <w:t> </w:t>
      </w:r>
      <w:r w:rsidR="004557ED" w:rsidRPr="003A0ACC">
        <w:rPr>
          <w:rFonts w:ascii="Times New Roman" w:eastAsia="Times New Roman" w:hAnsi="Times New Roman" w:cs="Times New Roman"/>
          <w:szCs w:val="24"/>
          <w:lang w:eastAsia="en-GB" w:bidi="he-IL"/>
        </w:rPr>
        <w:t>35)</w:t>
      </w:r>
      <w:r w:rsidR="00B00953" w:rsidRPr="003A0ACC">
        <w:rPr>
          <w:rFonts w:ascii="Cambria" w:hAnsi="Cambria"/>
          <w:szCs w:val="24"/>
          <w:lang w:val="en-US"/>
        </w:rPr>
        <w:br/>
      </w:r>
    </w:p>
    <w:p w14:paraId="58650BF6" w14:textId="097AEC48" w:rsidR="00B00953" w:rsidRPr="004557ED" w:rsidRDefault="00FA1A14" w:rsidP="00504B17">
      <w:pPr>
        <w:spacing w:after="180" w:line="360" w:lineRule="auto"/>
        <w:rPr>
          <w:rFonts w:ascii="Cambria" w:hAnsi="Cambria"/>
          <w:lang w:val="en-US"/>
        </w:rPr>
      </w:pPr>
      <w:r>
        <w:rPr>
          <w:rFonts w:ascii="Cambria" w:hAnsi="Cambria"/>
          <w:lang w:val="en-US"/>
        </w:rPr>
        <w:t xml:space="preserve">Once again, Takstang’s point </w:t>
      </w:r>
      <w:r w:rsidR="00CC6E1C">
        <w:rPr>
          <w:rFonts w:ascii="Cambria" w:hAnsi="Cambria"/>
          <w:lang w:val="en-US"/>
        </w:rPr>
        <w:t xml:space="preserve">concerns the incompatibility of error with knowledge.  But here he draws he explicit conclusion that the very idea that there are epistemic warrants, and hence knowledge, from the perspective of Prāsaṅgika Madhyamaka, is inconsistent.  A Mādhyamika, he concludes, must foreswear the entire epistemic enterprise when </w:t>
      </w:r>
      <w:r w:rsidR="00EA0F84">
        <w:rPr>
          <w:rFonts w:ascii="Cambria" w:hAnsi="Cambria"/>
          <w:lang w:val="en-US"/>
        </w:rPr>
        <w:t>speaking as a Mādhyamika.</w:t>
      </w:r>
    </w:p>
    <w:p w14:paraId="557C83C5" w14:textId="43C5243F" w:rsidR="00F95A94" w:rsidRDefault="00090FF3" w:rsidP="00504B17">
      <w:pPr>
        <w:spacing w:after="180" w:line="360" w:lineRule="auto"/>
        <w:ind w:firstLine="720"/>
        <w:rPr>
          <w:rFonts w:ascii="Cambria" w:hAnsi="Cambria"/>
          <w:lang w:val="en-US"/>
        </w:rPr>
      </w:pPr>
      <w:r>
        <w:rPr>
          <w:rFonts w:ascii="Cambria" w:hAnsi="Cambria"/>
          <w:lang w:val="en-US"/>
        </w:rPr>
        <w:t>Taktsang’s critique presages European foundationalism in epistemology</w:t>
      </w:r>
      <w:r w:rsidR="008D3792">
        <w:rPr>
          <w:rFonts w:ascii="Cambria" w:hAnsi="Cambria"/>
          <w:lang w:val="en-US"/>
        </w:rPr>
        <w:t>: he, as would they, take knowledge to require foundations</w:t>
      </w:r>
      <w:r>
        <w:rPr>
          <w:rFonts w:ascii="Cambria" w:hAnsi="Cambria"/>
          <w:lang w:val="en-US"/>
        </w:rPr>
        <w:t xml:space="preserve">.  But whereas most epistemological foundationalists use </w:t>
      </w:r>
      <w:r>
        <w:rPr>
          <w:rFonts w:ascii="Cambria" w:hAnsi="Cambria"/>
          <w:i/>
          <w:lang w:val="en-US"/>
        </w:rPr>
        <w:t xml:space="preserve">modus ponens </w:t>
      </w:r>
      <w:r>
        <w:rPr>
          <w:rFonts w:ascii="Cambria" w:hAnsi="Cambria"/>
          <w:lang w:val="en-US"/>
        </w:rPr>
        <w:t xml:space="preserve">to </w:t>
      </w:r>
      <w:r w:rsidR="00850A98">
        <w:rPr>
          <w:rFonts w:ascii="Cambria" w:hAnsi="Cambria"/>
          <w:lang w:val="en-US"/>
        </w:rPr>
        <w:t xml:space="preserve">infer from the fact that we have </w:t>
      </w:r>
      <w:proofErr w:type="gramStart"/>
      <w:r w:rsidR="00850A98">
        <w:rPr>
          <w:rFonts w:ascii="Cambria" w:hAnsi="Cambria"/>
          <w:lang w:val="en-US"/>
        </w:rPr>
        <w:t>knowledge</w:t>
      </w:r>
      <w:proofErr w:type="gramEnd"/>
      <w:r w:rsidR="00850A98">
        <w:rPr>
          <w:rFonts w:ascii="Cambria" w:hAnsi="Cambria"/>
          <w:lang w:val="en-US"/>
        </w:rPr>
        <w:t xml:space="preserve"> and that knowledge requires foundations that there are foundations for knowledge. Taktsang uses </w:t>
      </w:r>
      <w:r w:rsidR="00850A98">
        <w:rPr>
          <w:rFonts w:ascii="Cambria" w:hAnsi="Cambria"/>
          <w:i/>
          <w:lang w:val="en-US"/>
        </w:rPr>
        <w:t xml:space="preserve">modus tollens </w:t>
      </w:r>
      <w:r w:rsidR="00850A98">
        <w:rPr>
          <w:rFonts w:ascii="Cambria" w:hAnsi="Cambria"/>
          <w:lang w:val="en-US"/>
        </w:rPr>
        <w:t xml:space="preserve">to infer from the fact that a Prāsaṅgika cannot countenance foundations and that knowledge requires foundations to the conclusion that a Prāsaṅgika must eschew any claims to knowledge.   The Geluk tradition, he effectively charges, is trying to graft a </w:t>
      </w:r>
      <w:r w:rsidR="00C40A3E">
        <w:rPr>
          <w:rFonts w:ascii="Cambria" w:hAnsi="Cambria"/>
          <w:lang w:val="en-US"/>
        </w:rPr>
        <w:t xml:space="preserve">necessarily </w:t>
      </w:r>
      <w:r w:rsidR="00850A98">
        <w:rPr>
          <w:rFonts w:ascii="Cambria" w:hAnsi="Cambria"/>
          <w:lang w:val="en-US"/>
        </w:rPr>
        <w:t xml:space="preserve">foundationalist epistemology onto an </w:t>
      </w:r>
      <w:r w:rsidR="00A717F6">
        <w:rPr>
          <w:rFonts w:ascii="Cambria" w:hAnsi="Cambria"/>
          <w:lang w:val="en-US"/>
        </w:rPr>
        <w:t xml:space="preserve">anti-foundationalist ontology.  </w:t>
      </w:r>
    </w:p>
    <w:p w14:paraId="35A2A777" w14:textId="0F7FF7BF" w:rsidR="00150AB8" w:rsidRPr="00150AB8" w:rsidRDefault="003A7FD8" w:rsidP="00504B17">
      <w:pPr>
        <w:spacing w:after="180" w:line="360" w:lineRule="auto"/>
        <w:ind w:firstLine="720"/>
        <w:rPr>
          <w:rFonts w:ascii="Cambria" w:hAnsi="Cambria"/>
          <w:lang w:val="en-US"/>
        </w:rPr>
      </w:pPr>
      <w:r>
        <w:rPr>
          <w:rFonts w:ascii="Cambria" w:hAnsi="Cambria"/>
          <w:lang w:val="en-US"/>
        </w:rPr>
        <w:lastRenderedPageBreak/>
        <w:t xml:space="preserve">This radical rejection of all claims to genuine knowledge by ordinary beings is bracing and attractive. </w:t>
      </w:r>
      <w:r w:rsidR="00970FEC">
        <w:rPr>
          <w:rFonts w:ascii="Cambria" w:hAnsi="Cambria"/>
          <w:lang w:val="en-US"/>
        </w:rPr>
        <w:t xml:space="preserve">It is attractive partly because it emphasizes the radical nature of the Prāsaṅgika philosophical stance, and because it appears to make good sense of Prāsaṅgika claims to have no views, to be </w:t>
      </w:r>
      <w:proofErr w:type="spellStart"/>
      <w:r w:rsidR="00970FEC">
        <w:rPr>
          <w:rFonts w:ascii="Cambria" w:hAnsi="Cambria"/>
          <w:lang w:val="en-US"/>
        </w:rPr>
        <w:t>positionless</w:t>
      </w:r>
      <w:proofErr w:type="spellEnd"/>
      <w:r w:rsidR="00970FEC">
        <w:rPr>
          <w:rFonts w:ascii="Cambria" w:hAnsi="Cambria"/>
          <w:lang w:val="en-US"/>
        </w:rPr>
        <w:t xml:space="preserve">, and only to refute the positions of others.  It also emphasizes the great epistemic gulf between beings subject to illusion and awakened </w:t>
      </w:r>
      <w:proofErr w:type="gramStart"/>
      <w:r w:rsidR="00970FEC">
        <w:rPr>
          <w:rFonts w:ascii="Cambria" w:hAnsi="Cambria"/>
          <w:lang w:val="en-US"/>
        </w:rPr>
        <w:t>buddhas, and</w:t>
      </w:r>
      <w:proofErr w:type="gramEnd"/>
      <w:r w:rsidR="00970FEC">
        <w:rPr>
          <w:rFonts w:ascii="Cambria" w:hAnsi="Cambria"/>
          <w:lang w:val="en-US"/>
        </w:rPr>
        <w:t xml:space="preserve"> reflects the intuition that being subject to massive error at all times should disqualify one as a genuine knower.  But Taktsang is hardly the last word in this long-running debate, and to defend the Geluk position, we now turn to, the first Panchen Lama, </w:t>
      </w:r>
      <w:proofErr w:type="spellStart"/>
      <w:r w:rsidR="00970FEC">
        <w:rPr>
          <w:rFonts w:ascii="Cambria" w:hAnsi="Cambria"/>
          <w:lang w:val="en-US"/>
        </w:rPr>
        <w:t>Losang</w:t>
      </w:r>
      <w:proofErr w:type="spellEnd"/>
      <w:r w:rsidR="00970FEC">
        <w:rPr>
          <w:rFonts w:ascii="Cambria" w:hAnsi="Cambria"/>
          <w:lang w:val="en-US"/>
        </w:rPr>
        <w:t xml:space="preserve"> Chökyi Gyaltsen. (1505-1566).</w:t>
      </w:r>
    </w:p>
    <w:p w14:paraId="70252360" w14:textId="4C6AAF6D" w:rsidR="00E95E25" w:rsidRPr="00F95A94" w:rsidRDefault="00F74F95" w:rsidP="008D3792">
      <w:pPr>
        <w:keepNext/>
        <w:spacing w:before="60"/>
        <w:rPr>
          <w:rFonts w:ascii="Cambria" w:hAnsi="Cambria"/>
          <w:b/>
          <w:lang w:val="en-US"/>
        </w:rPr>
      </w:pPr>
      <w:r>
        <w:rPr>
          <w:rFonts w:ascii="Cambria" w:hAnsi="Cambria"/>
          <w:b/>
          <w:lang w:val="en-US"/>
        </w:rPr>
        <w:t>3</w:t>
      </w:r>
      <w:r w:rsidR="00E95E25" w:rsidRPr="00F95A94">
        <w:rPr>
          <w:rFonts w:ascii="Cambria" w:hAnsi="Cambria"/>
          <w:b/>
          <w:lang w:val="en-US"/>
        </w:rPr>
        <w:t xml:space="preserve">. </w:t>
      </w:r>
      <w:r w:rsidR="00883A4B">
        <w:rPr>
          <w:rFonts w:ascii="Cambria" w:hAnsi="Cambria"/>
          <w:b/>
          <w:lang w:val="en-US"/>
        </w:rPr>
        <w:t xml:space="preserve"> </w:t>
      </w:r>
      <w:proofErr w:type="spellStart"/>
      <w:r w:rsidR="00E95E25" w:rsidRPr="00F95A94">
        <w:rPr>
          <w:rFonts w:ascii="Cambria" w:hAnsi="Cambria"/>
          <w:b/>
          <w:lang w:val="en-US"/>
        </w:rPr>
        <w:t>Losang</w:t>
      </w:r>
      <w:proofErr w:type="spellEnd"/>
      <w:r w:rsidR="00E95E25" w:rsidRPr="00F95A94">
        <w:rPr>
          <w:rFonts w:ascii="Cambria" w:hAnsi="Cambria"/>
          <w:b/>
          <w:lang w:val="en-US"/>
        </w:rPr>
        <w:t xml:space="preserve"> Chökyi Gyaltsen on What Warrants Warrant</w:t>
      </w:r>
    </w:p>
    <w:p w14:paraId="0E67CAB0" w14:textId="56303CF0" w:rsidR="00F95A94" w:rsidRDefault="00812C58" w:rsidP="00970FEC">
      <w:pPr>
        <w:spacing w:after="180" w:line="360" w:lineRule="auto"/>
        <w:rPr>
          <w:rFonts w:ascii="Cambria" w:hAnsi="Cambria"/>
          <w:lang w:val="en-US"/>
        </w:rPr>
      </w:pPr>
      <w:r>
        <w:rPr>
          <w:rFonts w:ascii="Cambria" w:hAnsi="Cambria"/>
          <w:lang w:val="en-US"/>
        </w:rPr>
        <w:t xml:space="preserve">In </w:t>
      </w:r>
      <w:r>
        <w:rPr>
          <w:rFonts w:ascii="Cambria" w:hAnsi="Cambria"/>
          <w:i/>
          <w:lang w:val="en-US"/>
        </w:rPr>
        <w:t>The Lion’s Roar of Scripture and Reasoning</w:t>
      </w:r>
      <w:r>
        <w:rPr>
          <w:rFonts w:ascii="Cambria" w:hAnsi="Cambria"/>
          <w:lang w:val="en-US"/>
        </w:rPr>
        <w:t xml:space="preserve"> (</w:t>
      </w:r>
      <w:r w:rsidR="000D72C6">
        <w:rPr>
          <w:rFonts w:ascii="Cambria" w:hAnsi="Cambria"/>
          <w:lang w:val="en-US"/>
        </w:rPr>
        <w:t>Yakherds 2021</w:t>
      </w:r>
      <w:r>
        <w:rPr>
          <w:rFonts w:ascii="Cambria" w:hAnsi="Cambria"/>
          <w:lang w:val="en-US"/>
        </w:rPr>
        <w:t xml:space="preserve">, vol. 2 pp 165-260), </w:t>
      </w:r>
      <w:proofErr w:type="spellStart"/>
      <w:r>
        <w:rPr>
          <w:rFonts w:ascii="Cambria" w:hAnsi="Cambria"/>
          <w:lang w:val="en-US"/>
        </w:rPr>
        <w:t>Losang</w:t>
      </w:r>
      <w:proofErr w:type="spellEnd"/>
      <w:r>
        <w:rPr>
          <w:rFonts w:ascii="Cambria" w:hAnsi="Cambria"/>
          <w:lang w:val="en-US"/>
        </w:rPr>
        <w:t xml:space="preserve"> Chökyi Gyaltsen addresses each of Taktsang’s critiques of Tsongkhapa’s and </w:t>
      </w:r>
      <w:proofErr w:type="spellStart"/>
      <w:r>
        <w:rPr>
          <w:rFonts w:ascii="Cambria" w:hAnsi="Cambria"/>
          <w:lang w:val="en-US"/>
        </w:rPr>
        <w:t>Khedrup-jé’s</w:t>
      </w:r>
      <w:proofErr w:type="spellEnd"/>
      <w:r>
        <w:rPr>
          <w:rFonts w:ascii="Cambria" w:hAnsi="Cambria"/>
          <w:lang w:val="en-US"/>
        </w:rPr>
        <w:t xml:space="preserve"> epistemology.  We will focus on the passages in which he responds to </w:t>
      </w:r>
      <w:r w:rsidR="00FA6BD2">
        <w:rPr>
          <w:rFonts w:ascii="Cambria" w:hAnsi="Cambria"/>
          <w:lang w:val="en-US"/>
        </w:rPr>
        <w:t xml:space="preserve">the charge of foundationalism and to the charge that knowledge makes no sense in the context of pervasive delusion and error. We will see that these responses encode </w:t>
      </w:r>
      <w:r w:rsidR="00C40A3E">
        <w:rPr>
          <w:rFonts w:ascii="Cambria" w:hAnsi="Cambria"/>
          <w:lang w:val="en-US"/>
        </w:rPr>
        <w:t xml:space="preserve">both </w:t>
      </w:r>
      <w:r w:rsidR="00FA6BD2">
        <w:rPr>
          <w:rFonts w:ascii="Cambria" w:hAnsi="Cambria"/>
          <w:lang w:val="en-US"/>
        </w:rPr>
        <w:t xml:space="preserve">the coherentism and faith in epistemic progress inaugurated by Candrakīrti and Tsongkhapa, anticipating the spirit of Otto </w:t>
      </w:r>
      <w:proofErr w:type="spellStart"/>
      <w:r w:rsidR="00FA6BD2">
        <w:rPr>
          <w:rFonts w:ascii="Cambria" w:hAnsi="Cambria"/>
          <w:lang w:val="en-US"/>
        </w:rPr>
        <w:t>Neurath</w:t>
      </w:r>
      <w:proofErr w:type="spellEnd"/>
      <w:r w:rsidR="00FA6BD2">
        <w:rPr>
          <w:rFonts w:ascii="Cambria" w:hAnsi="Cambria"/>
          <w:lang w:val="en-US"/>
        </w:rPr>
        <w:t>.</w:t>
      </w:r>
    </w:p>
    <w:p w14:paraId="6953259A" w14:textId="4E69ADC2" w:rsidR="00F95A94" w:rsidRDefault="00807FD2" w:rsidP="00F95A94">
      <w:pPr>
        <w:spacing w:after="180" w:line="360" w:lineRule="auto"/>
        <w:ind w:firstLine="720"/>
        <w:rPr>
          <w:rFonts w:ascii="Cambria" w:hAnsi="Cambria"/>
          <w:lang w:val="en-US"/>
        </w:rPr>
      </w:pPr>
      <w:r>
        <w:rPr>
          <w:rFonts w:ascii="Cambria" w:hAnsi="Cambria"/>
          <w:lang w:val="en-US"/>
        </w:rPr>
        <w:t>The Panchen Lama begins this discussion by summarizing Takstang’s charges under these heads:</w:t>
      </w:r>
    </w:p>
    <w:p w14:paraId="473BD487" w14:textId="4DCBB2BA" w:rsidR="00807FD2" w:rsidRDefault="00807FD2" w:rsidP="00807FD2">
      <w:pPr>
        <w:ind w:left="720" w:right="662"/>
        <w:rPr>
          <w:rFonts w:ascii="Cambria" w:hAnsi="Cambria"/>
          <w:lang w:val="en-US"/>
        </w:rPr>
      </w:pPr>
      <w:r>
        <w:rPr>
          <w:rFonts w:ascii="Cambria" w:hAnsi="Cambria"/>
          <w:lang w:val="en-US"/>
        </w:rPr>
        <w:t xml:space="preserve">You… say that Tsongkhapa asserts (1) that something like fire’s “burning function” is not a mere mental imputation; (2) that he believes that from a merely </w:t>
      </w:r>
      <w:r w:rsidR="00383B80">
        <w:rPr>
          <w:rFonts w:ascii="Cambria" w:hAnsi="Cambria"/>
          <w:lang w:val="en-US"/>
        </w:rPr>
        <w:t>conventional</w:t>
      </w:r>
      <w:r>
        <w:rPr>
          <w:rFonts w:ascii="Cambria" w:hAnsi="Cambria"/>
          <w:lang w:val="en-US"/>
        </w:rPr>
        <w:t xml:space="preserve"> </w:t>
      </w:r>
      <w:r w:rsidR="00383B80">
        <w:rPr>
          <w:rFonts w:ascii="Cambria" w:hAnsi="Cambria"/>
          <w:lang w:val="en-US"/>
        </w:rPr>
        <w:t>perspective</w:t>
      </w:r>
      <w:r>
        <w:rPr>
          <w:rFonts w:ascii="Cambria" w:hAnsi="Cambria"/>
          <w:lang w:val="en-US"/>
        </w:rPr>
        <w:t xml:space="preserve"> </w:t>
      </w:r>
      <w:r w:rsidR="00383B80">
        <w:rPr>
          <w:rFonts w:ascii="Cambria" w:hAnsi="Cambria"/>
          <w:lang w:val="en-US"/>
        </w:rPr>
        <w:t>the</w:t>
      </w:r>
      <w:r>
        <w:rPr>
          <w:rFonts w:ascii="Cambria" w:hAnsi="Cambria"/>
          <w:lang w:val="en-US"/>
        </w:rPr>
        <w:t xml:space="preserve"> quality of burning exists nondeceptively; (3) that this is necessary in order for each them—the fire an</w:t>
      </w:r>
      <w:r w:rsidR="00383B80">
        <w:rPr>
          <w:rFonts w:ascii="Cambria" w:hAnsi="Cambria"/>
          <w:lang w:val="en-US"/>
        </w:rPr>
        <w:t>d</w:t>
      </w:r>
      <w:r>
        <w:rPr>
          <w:rFonts w:ascii="Cambria" w:hAnsi="Cambria"/>
          <w:lang w:val="en-US"/>
        </w:rPr>
        <w:t xml:space="preserve"> its burning function—to </w:t>
      </w:r>
      <w:r w:rsidR="00383B80">
        <w:rPr>
          <w:rFonts w:ascii="Cambria" w:hAnsi="Cambria"/>
          <w:lang w:val="en-US"/>
        </w:rPr>
        <w:t>elicit</w:t>
      </w:r>
      <w:r>
        <w:rPr>
          <w:rFonts w:ascii="Cambria" w:hAnsi="Cambria"/>
          <w:lang w:val="en-US"/>
        </w:rPr>
        <w:t xml:space="preserve"> certainty </w:t>
      </w:r>
      <w:r w:rsidR="00383B80">
        <w:rPr>
          <w:rFonts w:ascii="Cambria" w:hAnsi="Cambria"/>
          <w:lang w:val="en-US"/>
        </w:rPr>
        <w:t>about</w:t>
      </w:r>
      <w:r>
        <w:rPr>
          <w:rFonts w:ascii="Cambria" w:hAnsi="Cambria"/>
          <w:lang w:val="en-US"/>
        </w:rPr>
        <w:t xml:space="preserve"> </w:t>
      </w:r>
      <w:r w:rsidR="00383B80">
        <w:rPr>
          <w:rFonts w:ascii="Cambria" w:hAnsi="Cambria"/>
          <w:lang w:val="en-US"/>
        </w:rPr>
        <w:t>the</w:t>
      </w:r>
      <w:r>
        <w:rPr>
          <w:rFonts w:ascii="Cambria" w:hAnsi="Cambria"/>
          <w:lang w:val="en-US"/>
        </w:rPr>
        <w:t xml:space="preserve"> other; and (4) that if the function were </w:t>
      </w:r>
      <w:r w:rsidR="00383B80">
        <w:rPr>
          <w:rFonts w:ascii="Cambria" w:hAnsi="Cambria"/>
          <w:lang w:val="en-US"/>
        </w:rPr>
        <w:t>accepted</w:t>
      </w:r>
      <w:r>
        <w:rPr>
          <w:rFonts w:ascii="Cambria" w:hAnsi="Cambria"/>
          <w:lang w:val="en-US"/>
        </w:rPr>
        <w:t xml:space="preserve"> only from an erroneous perspective, there could be no epistemic confidence…  </w:t>
      </w:r>
      <w:r w:rsidR="00383B80">
        <w:rPr>
          <w:rFonts w:ascii="Cambria" w:hAnsi="Cambria"/>
          <w:lang w:val="en-US"/>
        </w:rPr>
        <w:t xml:space="preserve">and that this is the chief contradiction in his system.  This is because in the great Madhyamaka there is no essence to be negated other than the fact that things function objectively and foundationally. You might </w:t>
      </w:r>
      <w:r w:rsidR="00730B14">
        <w:rPr>
          <w:rFonts w:ascii="Cambria" w:hAnsi="Cambria"/>
          <w:lang w:val="en-US"/>
        </w:rPr>
        <w:t>s</w:t>
      </w:r>
      <w:r w:rsidR="00383B80">
        <w:rPr>
          <w:rFonts w:ascii="Cambria" w:hAnsi="Cambria"/>
          <w:lang w:val="en-US"/>
        </w:rPr>
        <w:t>ay that Tsongkhapa would reply that he does not advocate foundationalism. But if something is not foundational, it contradicts the fact that it is epistemically warranted and that means nothing more than being foundational. (</w:t>
      </w:r>
      <w:r w:rsidR="000D72C6">
        <w:rPr>
          <w:rFonts w:ascii="Cambria" w:hAnsi="Cambria"/>
          <w:lang w:val="en-US"/>
        </w:rPr>
        <w:t>Yakherds 2021</w:t>
      </w:r>
      <w:r w:rsidR="00383B80">
        <w:rPr>
          <w:rFonts w:ascii="Cambria" w:hAnsi="Cambria"/>
          <w:lang w:val="en-US"/>
        </w:rPr>
        <w:t>, v. 2 pp. 186-187)</w:t>
      </w:r>
    </w:p>
    <w:p w14:paraId="5BCB0180" w14:textId="77777777" w:rsidR="00E95E25" w:rsidRDefault="00E95E25" w:rsidP="00E95E25">
      <w:pPr>
        <w:rPr>
          <w:rFonts w:ascii="Cambria" w:hAnsi="Cambria"/>
          <w:lang w:val="en-US"/>
        </w:rPr>
      </w:pPr>
    </w:p>
    <w:p w14:paraId="402A01BB" w14:textId="1D502E92" w:rsidR="006A18EA" w:rsidRDefault="006A18EA" w:rsidP="006A18EA">
      <w:pPr>
        <w:spacing w:after="180" w:line="360" w:lineRule="auto"/>
        <w:ind w:firstLine="720"/>
        <w:rPr>
          <w:rFonts w:ascii="Cambria" w:hAnsi="Cambria"/>
          <w:lang w:val="en-US"/>
        </w:rPr>
      </w:pPr>
      <w:r>
        <w:rPr>
          <w:rFonts w:ascii="Cambria" w:hAnsi="Cambria"/>
          <w:lang w:val="en-US"/>
        </w:rPr>
        <w:lastRenderedPageBreak/>
        <w:t xml:space="preserve">The Panchen </w:t>
      </w:r>
      <w:r w:rsidR="00C40A3E">
        <w:rPr>
          <w:rFonts w:ascii="Cambria" w:hAnsi="Cambria"/>
          <w:lang w:val="en-US"/>
        </w:rPr>
        <w:t>L</w:t>
      </w:r>
      <w:r>
        <w:rPr>
          <w:rFonts w:ascii="Cambria" w:hAnsi="Cambria"/>
          <w:lang w:val="en-US"/>
        </w:rPr>
        <w:t xml:space="preserve">ama first addresses the issue of foundationalism.  He writes, “If ‘nondeceptive’ means </w:t>
      </w:r>
      <w:r>
        <w:rPr>
          <w:rFonts w:ascii="Cambria" w:hAnsi="Cambria"/>
          <w:i/>
          <w:lang w:val="en-US"/>
        </w:rPr>
        <w:t>foundational,</w:t>
      </w:r>
      <w:r>
        <w:rPr>
          <w:rFonts w:ascii="Cambria" w:hAnsi="Cambria"/>
          <w:lang w:val="en-US"/>
        </w:rPr>
        <w:t xml:space="preserve"> then you must be claiming that nirvana is foundational, able to withstand analysis, and independent.” (</w:t>
      </w:r>
      <w:r>
        <w:rPr>
          <w:rFonts w:ascii="Cambria" w:hAnsi="Cambria"/>
          <w:i/>
          <w:lang w:val="en-US"/>
        </w:rPr>
        <w:t xml:space="preserve">Ibid., </w:t>
      </w:r>
      <w:r>
        <w:rPr>
          <w:rFonts w:ascii="Cambria" w:hAnsi="Cambria"/>
          <w:lang w:val="en-US"/>
        </w:rPr>
        <w:t>p. 188</w:t>
      </w:r>
      <w:proofErr w:type="gramStart"/>
      <w:r>
        <w:rPr>
          <w:rFonts w:ascii="Cambria" w:hAnsi="Cambria"/>
          <w:lang w:val="en-US"/>
        </w:rPr>
        <w:t xml:space="preserve">)  </w:t>
      </w:r>
      <w:r w:rsidR="00DC07B7">
        <w:rPr>
          <w:rFonts w:ascii="Cambria" w:hAnsi="Cambria"/>
          <w:lang w:val="en-US"/>
        </w:rPr>
        <w:t>This</w:t>
      </w:r>
      <w:proofErr w:type="gramEnd"/>
      <w:r w:rsidR="00DC07B7">
        <w:rPr>
          <w:rFonts w:ascii="Cambria" w:hAnsi="Cambria"/>
          <w:lang w:val="en-US"/>
        </w:rPr>
        <w:t xml:space="preserve"> argument is a bit telegraphic, but we can easily parse it. No Mādhyamika accepts that any phenomenon</w:t>
      </w:r>
      <w:r w:rsidR="00C40A3E">
        <w:rPr>
          <w:rFonts w:ascii="Cambria" w:hAnsi="Cambria"/>
          <w:lang w:val="en-US"/>
        </w:rPr>
        <w:t>—including nirvana—</w:t>
      </w:r>
      <w:r w:rsidR="00DC07B7">
        <w:rPr>
          <w:rFonts w:ascii="Cambria" w:hAnsi="Cambria"/>
          <w:lang w:val="en-US"/>
        </w:rPr>
        <w:t xml:space="preserve"> is independent, and able to withstand analysis—that is, foundational.  But </w:t>
      </w:r>
      <w:r w:rsidR="00DC07B7">
        <w:rPr>
          <w:rFonts w:ascii="Cambria" w:hAnsi="Cambria"/>
          <w:i/>
          <w:lang w:val="en-US"/>
        </w:rPr>
        <w:t xml:space="preserve">every </w:t>
      </w:r>
      <w:r w:rsidR="00DC07B7">
        <w:rPr>
          <w:rFonts w:ascii="Cambria" w:hAnsi="Cambria"/>
          <w:lang w:val="en-US"/>
        </w:rPr>
        <w:t xml:space="preserve">Buddhist accepts that nirvana is nondeceptive—that to attain nirvana is to know that one has done so.  It follows, argues the Panchen lama, that being nondeceptive does </w:t>
      </w:r>
      <w:r w:rsidR="00DC07B7">
        <w:rPr>
          <w:rFonts w:ascii="Cambria" w:hAnsi="Cambria"/>
          <w:i/>
          <w:lang w:val="en-US"/>
        </w:rPr>
        <w:t xml:space="preserve">not </w:t>
      </w:r>
      <w:r w:rsidR="00DC07B7">
        <w:rPr>
          <w:rFonts w:ascii="Cambria" w:hAnsi="Cambria"/>
          <w:lang w:val="en-US"/>
        </w:rPr>
        <w:t xml:space="preserve">entail being foundational, and so that a commitment to nondeceptive </w:t>
      </w:r>
      <w:r w:rsidR="00623B30">
        <w:rPr>
          <w:rFonts w:ascii="Cambria" w:hAnsi="Cambria"/>
          <w:lang w:val="en-US"/>
        </w:rPr>
        <w:t>epistemic warrants is not a commitment to epistemic foundations.</w:t>
      </w:r>
    </w:p>
    <w:p w14:paraId="210C6D00" w14:textId="1F300161" w:rsidR="00623B30" w:rsidRDefault="00623B30" w:rsidP="006A18EA">
      <w:pPr>
        <w:spacing w:after="180" w:line="360" w:lineRule="auto"/>
        <w:ind w:firstLine="720"/>
        <w:rPr>
          <w:rFonts w:ascii="Cambria" w:hAnsi="Cambria"/>
          <w:lang w:val="en-US"/>
        </w:rPr>
      </w:pPr>
      <w:r>
        <w:rPr>
          <w:rFonts w:ascii="Cambria" w:hAnsi="Cambria"/>
          <w:lang w:val="en-US"/>
        </w:rPr>
        <w:t>A bit later, he addresses the question of warrant in the context of massive error.  He writes:</w:t>
      </w:r>
    </w:p>
    <w:p w14:paraId="0FB19C91" w14:textId="0AFBD1AA" w:rsidR="00623B30" w:rsidRDefault="00623B30" w:rsidP="00623B30">
      <w:pPr>
        <w:ind w:left="720" w:right="662"/>
        <w:rPr>
          <w:rFonts w:ascii="Cambria" w:hAnsi="Cambria"/>
          <w:lang w:val="en-US"/>
        </w:rPr>
      </w:pPr>
      <w:r>
        <w:rPr>
          <w:rFonts w:ascii="Cambria" w:hAnsi="Cambria"/>
          <w:lang w:val="en-US"/>
        </w:rPr>
        <w:t xml:space="preserve">We do not accept your charge [that an erroneous cognition cannot serve as an epistemic warrant] because in the Prāsaṅgika Madhyamaka system no ordinary being has a nonerroneous visual </w:t>
      </w:r>
      <w:r w:rsidR="004D7F26">
        <w:rPr>
          <w:rFonts w:ascii="Cambria" w:hAnsi="Cambria"/>
          <w:lang w:val="en-US"/>
        </w:rPr>
        <w:t>consciousness….</w:t>
      </w:r>
    </w:p>
    <w:p w14:paraId="49670FCD" w14:textId="11D5F881" w:rsidR="004D7F26" w:rsidRDefault="004D7F26" w:rsidP="00623B30">
      <w:pPr>
        <w:ind w:left="720" w:right="662"/>
        <w:rPr>
          <w:rFonts w:ascii="Cambria" w:hAnsi="Cambria"/>
          <w:lang w:val="en-US"/>
        </w:rPr>
      </w:pPr>
    </w:p>
    <w:p w14:paraId="58AB15D9" w14:textId="48DD77E5" w:rsidR="004D7F26" w:rsidRDefault="004D7F26" w:rsidP="00623B30">
      <w:pPr>
        <w:ind w:left="720" w:right="662"/>
        <w:rPr>
          <w:rFonts w:ascii="Cambria" w:hAnsi="Cambria"/>
          <w:lang w:val="en-US"/>
        </w:rPr>
      </w:pPr>
      <w:r>
        <w:rPr>
          <w:rFonts w:ascii="Cambria" w:hAnsi="Cambria"/>
          <w:lang w:val="en-US"/>
        </w:rPr>
        <w:t xml:space="preserve">Material </w:t>
      </w:r>
      <w:proofErr w:type="spellStart"/>
      <w:r>
        <w:rPr>
          <w:rFonts w:ascii="Cambria" w:hAnsi="Cambria"/>
          <w:lang w:val="en-US"/>
        </w:rPr>
        <w:t>form</w:t>
      </w:r>
      <w:proofErr w:type="spellEnd"/>
      <w:r>
        <w:rPr>
          <w:rFonts w:ascii="Cambria" w:hAnsi="Cambria"/>
          <w:lang w:val="en-US"/>
        </w:rPr>
        <w:t xml:space="preserve"> appear as material form to the visual consciousness that perceives material form; it also appears as existing essentially. Nonetheless, while that consciousness knows form to be form, it does not know form to exist essentially. The visual consciousness that apprehends material form is epistemically reliable </w:t>
      </w:r>
      <w:proofErr w:type="gramStart"/>
      <w:r>
        <w:rPr>
          <w:rFonts w:ascii="Cambria" w:hAnsi="Cambria"/>
          <w:lang w:val="en-US"/>
        </w:rPr>
        <w:t>with regard to</w:t>
      </w:r>
      <w:proofErr w:type="gramEnd"/>
      <w:r>
        <w:rPr>
          <w:rFonts w:ascii="Cambria" w:hAnsi="Cambria"/>
          <w:lang w:val="en-US"/>
        </w:rPr>
        <w:t xml:space="preserve"> (a) form, (b) the appearance of form, and (c) the </w:t>
      </w:r>
      <w:r>
        <w:rPr>
          <w:rFonts w:ascii="Cambria" w:hAnsi="Cambria"/>
          <w:i/>
          <w:lang w:val="en-US"/>
        </w:rPr>
        <w:t xml:space="preserve">appearance </w:t>
      </w:r>
      <w:r>
        <w:rPr>
          <w:rFonts w:ascii="Cambria" w:hAnsi="Cambria"/>
          <w:lang w:val="en-US"/>
        </w:rPr>
        <w:t xml:space="preserve">of form’s existing essentially; but it is </w:t>
      </w:r>
      <w:r>
        <w:rPr>
          <w:rFonts w:ascii="Cambria" w:hAnsi="Cambria"/>
          <w:i/>
          <w:lang w:val="en-US"/>
        </w:rPr>
        <w:t xml:space="preserve">not </w:t>
      </w:r>
      <w:r>
        <w:rPr>
          <w:rFonts w:ascii="Cambria" w:hAnsi="Cambria"/>
          <w:lang w:val="en-US"/>
        </w:rPr>
        <w:t xml:space="preserve">epistemically warranting in regard to (d) </w:t>
      </w:r>
      <w:r w:rsidR="00860EE2">
        <w:rPr>
          <w:rFonts w:ascii="Cambria" w:hAnsi="Cambria"/>
          <w:lang w:val="en-US"/>
        </w:rPr>
        <w:t xml:space="preserve">form’s existing essentially.  Therefore, even though an ordinary visual consciousness apprehending form is an erroneous consciousness, this does not contradict its being epistemically warranting </w:t>
      </w:r>
      <w:proofErr w:type="gramStart"/>
      <w:r w:rsidR="00860EE2">
        <w:rPr>
          <w:rFonts w:ascii="Cambria" w:hAnsi="Cambria"/>
          <w:lang w:val="en-US"/>
        </w:rPr>
        <w:t>with regard to</w:t>
      </w:r>
      <w:proofErr w:type="gramEnd"/>
      <w:r w:rsidR="00860EE2">
        <w:rPr>
          <w:rFonts w:ascii="Cambria" w:hAnsi="Cambria"/>
          <w:lang w:val="en-US"/>
        </w:rPr>
        <w:t xml:space="preserve"> form. </w:t>
      </w:r>
    </w:p>
    <w:p w14:paraId="01568EDF" w14:textId="0A218616" w:rsidR="00860EE2" w:rsidRDefault="00860EE2" w:rsidP="00623B30">
      <w:pPr>
        <w:ind w:left="720" w:right="662"/>
        <w:rPr>
          <w:rFonts w:ascii="Cambria" w:hAnsi="Cambria"/>
          <w:lang w:val="en-US"/>
        </w:rPr>
      </w:pPr>
      <w:r>
        <w:rPr>
          <w:rFonts w:ascii="Cambria" w:hAnsi="Cambria"/>
          <w:lang w:val="en-US"/>
        </w:rPr>
        <w:t>…</w:t>
      </w:r>
    </w:p>
    <w:p w14:paraId="1F50E16F" w14:textId="11F97B50" w:rsidR="00860EE2" w:rsidRDefault="00860EE2" w:rsidP="00623B30">
      <w:pPr>
        <w:ind w:left="720" w:right="662"/>
        <w:rPr>
          <w:rFonts w:ascii="Cambria" w:hAnsi="Cambria"/>
          <w:lang w:val="en-US"/>
        </w:rPr>
      </w:pPr>
      <w:r>
        <w:rPr>
          <w:rFonts w:ascii="Cambria" w:hAnsi="Cambria"/>
          <w:lang w:val="en-US"/>
        </w:rPr>
        <w:t xml:space="preserve">That is, even though the sensory consciousnesses of ordinary beings are erroneous consciousnesses, they </w:t>
      </w:r>
      <w:proofErr w:type="gramStart"/>
      <w:r>
        <w:rPr>
          <w:rFonts w:ascii="Cambria" w:hAnsi="Cambria"/>
          <w:lang w:val="en-US"/>
        </w:rPr>
        <w:t>have the ability to</w:t>
      </w:r>
      <w:proofErr w:type="gramEnd"/>
      <w:r>
        <w:rPr>
          <w:rFonts w:ascii="Cambria" w:hAnsi="Cambria"/>
          <w:lang w:val="en-US"/>
        </w:rPr>
        <w:t xml:space="preserve"> perform functions….  For example, even though in the world all grains are similar, there is a great difference in quality </w:t>
      </w:r>
      <w:r w:rsidR="00293C01">
        <w:rPr>
          <w:rFonts w:ascii="Cambria" w:hAnsi="Cambria"/>
          <w:lang w:val="en-US"/>
        </w:rPr>
        <w:t>between barley</w:t>
      </w:r>
      <w:r>
        <w:rPr>
          <w:rFonts w:ascii="Cambria" w:hAnsi="Cambria"/>
          <w:lang w:val="en-US"/>
        </w:rPr>
        <w:t>, rice, wheat, pulses, and so forth. And even though gold and silver are similar in that they are both precious metals, there are great differences between [</w:t>
      </w:r>
      <w:r>
        <w:rPr>
          <w:rFonts w:ascii="Cambria" w:hAnsi="Cambria"/>
          <w:i/>
          <w:lang w:val="en-US"/>
        </w:rPr>
        <w:t xml:space="preserve">Ibid., </w:t>
      </w:r>
      <w:r>
        <w:rPr>
          <w:rFonts w:ascii="Cambria" w:hAnsi="Cambria"/>
          <w:lang w:val="en-US"/>
        </w:rPr>
        <w:t>pp. 200-201]</w:t>
      </w:r>
    </w:p>
    <w:p w14:paraId="5BD5A287" w14:textId="2DC8FC98" w:rsidR="00860EE2" w:rsidRDefault="00860EE2" w:rsidP="00623B30">
      <w:pPr>
        <w:ind w:left="720" w:right="662"/>
        <w:rPr>
          <w:rFonts w:ascii="Cambria" w:hAnsi="Cambria"/>
          <w:lang w:val="en-US"/>
        </w:rPr>
      </w:pPr>
    </w:p>
    <w:p w14:paraId="128F2E1C" w14:textId="3196BEB4" w:rsidR="00860EE2" w:rsidRDefault="00837816" w:rsidP="00860EE2">
      <w:pPr>
        <w:spacing w:after="180" w:line="360" w:lineRule="auto"/>
        <w:rPr>
          <w:rFonts w:ascii="Cambria" w:hAnsi="Cambria"/>
          <w:iCs/>
          <w:lang w:val="en-US"/>
        </w:rPr>
      </w:pPr>
      <w:r>
        <w:rPr>
          <w:rFonts w:ascii="Cambria" w:hAnsi="Cambria"/>
          <w:iCs/>
          <w:lang w:val="en-US"/>
        </w:rPr>
        <w:t xml:space="preserve">I quote these passages at length because they show so clearly </w:t>
      </w:r>
      <w:r w:rsidR="002C6CBA">
        <w:rPr>
          <w:rFonts w:ascii="Cambria" w:hAnsi="Cambria"/>
          <w:iCs/>
          <w:lang w:val="en-US"/>
        </w:rPr>
        <w:t xml:space="preserve">how the Panchen Lama </w:t>
      </w:r>
      <w:r w:rsidR="002119D2">
        <w:rPr>
          <w:rFonts w:ascii="Cambria" w:hAnsi="Cambria"/>
          <w:iCs/>
          <w:lang w:val="en-US"/>
        </w:rPr>
        <w:t xml:space="preserve">demonstrates that warrant reflects not complete freedom from error, but rather epistemic functionality, reliability, and the ability to deliver </w:t>
      </w:r>
      <w:r w:rsidR="002119D2">
        <w:rPr>
          <w:rFonts w:ascii="Cambria" w:hAnsi="Cambria"/>
          <w:i/>
          <w:iCs/>
          <w:lang w:val="en-US"/>
        </w:rPr>
        <w:t xml:space="preserve">some </w:t>
      </w:r>
      <w:r w:rsidR="002119D2">
        <w:rPr>
          <w:rFonts w:ascii="Cambria" w:hAnsi="Cambria"/>
          <w:iCs/>
          <w:lang w:val="en-US"/>
        </w:rPr>
        <w:t xml:space="preserve">correct information even if not </w:t>
      </w:r>
      <w:r w:rsidR="002119D2">
        <w:rPr>
          <w:rFonts w:ascii="Cambria" w:hAnsi="Cambria"/>
          <w:i/>
          <w:iCs/>
          <w:lang w:val="en-US"/>
        </w:rPr>
        <w:t xml:space="preserve">all </w:t>
      </w:r>
      <w:r w:rsidR="002119D2">
        <w:rPr>
          <w:rFonts w:ascii="Cambria" w:hAnsi="Cambria"/>
          <w:iCs/>
          <w:lang w:val="en-US"/>
        </w:rPr>
        <w:t xml:space="preserve">correct information. This understanding weaves together Candrakīrti’s commitment to the </w:t>
      </w:r>
      <w:r w:rsidR="00E74D4C">
        <w:rPr>
          <w:rFonts w:ascii="Cambria" w:hAnsi="Cambria"/>
          <w:iCs/>
          <w:lang w:val="en-US"/>
        </w:rPr>
        <w:lastRenderedPageBreak/>
        <w:t>importance of mundane practices, Dharmakīrti’s pragmatism (Powers 1994) in his understanding of epistemic warrant</w:t>
      </w:r>
      <w:r w:rsidR="00C40A3E">
        <w:rPr>
          <w:rFonts w:ascii="Cambria" w:hAnsi="Cambria"/>
          <w:iCs/>
          <w:lang w:val="en-US"/>
        </w:rPr>
        <w:t xml:space="preserve"> in terms of its success in enabling practical </w:t>
      </w:r>
      <w:proofErr w:type="spellStart"/>
      <w:r w:rsidR="00C40A3E">
        <w:rPr>
          <w:rFonts w:ascii="Cambria" w:hAnsi="Cambria"/>
          <w:iCs/>
          <w:lang w:val="en-US"/>
        </w:rPr>
        <w:t>activites</w:t>
      </w:r>
      <w:proofErr w:type="spellEnd"/>
      <w:r w:rsidR="00293C01">
        <w:rPr>
          <w:rFonts w:ascii="Cambria" w:hAnsi="Cambria"/>
          <w:iCs/>
          <w:lang w:val="en-US"/>
        </w:rPr>
        <w:t xml:space="preserve">, and Tsongkhapa’s subtle distinctions between the various aspects of veridicality to which we must attend </w:t>
      </w:r>
      <w:proofErr w:type="gramStart"/>
      <w:r w:rsidR="00293C01">
        <w:rPr>
          <w:rFonts w:ascii="Cambria" w:hAnsi="Cambria"/>
          <w:iCs/>
          <w:lang w:val="en-US"/>
        </w:rPr>
        <w:t>in order to</w:t>
      </w:r>
      <w:proofErr w:type="gramEnd"/>
      <w:r w:rsidR="00293C01">
        <w:rPr>
          <w:rFonts w:ascii="Cambria" w:hAnsi="Cambria"/>
          <w:iCs/>
          <w:lang w:val="en-US"/>
        </w:rPr>
        <w:t xml:space="preserve"> understand epistemic warrant.</w:t>
      </w:r>
    </w:p>
    <w:p w14:paraId="0FC91549" w14:textId="5B7555A4" w:rsidR="00293C01" w:rsidRDefault="00293C01" w:rsidP="00293C01">
      <w:pPr>
        <w:spacing w:after="180" w:line="360" w:lineRule="auto"/>
        <w:ind w:firstLine="720"/>
        <w:rPr>
          <w:rFonts w:ascii="Cambria" w:hAnsi="Cambria"/>
          <w:iCs/>
          <w:lang w:val="en-US"/>
        </w:rPr>
      </w:pPr>
      <w:r>
        <w:rPr>
          <w:rFonts w:ascii="Cambria" w:hAnsi="Cambria"/>
          <w:iCs/>
          <w:lang w:val="en-US"/>
        </w:rPr>
        <w:t xml:space="preserve">We </w:t>
      </w:r>
      <w:r w:rsidRPr="00003536">
        <w:rPr>
          <w:rFonts w:ascii="Cambria" w:hAnsi="Cambria"/>
          <w:i/>
          <w:iCs/>
          <w:lang w:val="en-US"/>
        </w:rPr>
        <w:t>do</w:t>
      </w:r>
      <w:r>
        <w:rPr>
          <w:rFonts w:ascii="Cambria" w:hAnsi="Cambria"/>
          <w:iCs/>
          <w:lang w:val="en-US"/>
        </w:rPr>
        <w:t xml:space="preserve"> tell barley from rice, silver from gold, and we do it reliably. </w:t>
      </w:r>
      <w:r w:rsidR="009A16DF">
        <w:rPr>
          <w:rFonts w:ascii="Cambria" w:hAnsi="Cambria"/>
          <w:iCs/>
          <w:lang w:val="en-US"/>
        </w:rPr>
        <w:t xml:space="preserve">And we do so </w:t>
      </w:r>
      <w:proofErr w:type="gramStart"/>
      <w:r w:rsidR="009A16DF">
        <w:rPr>
          <w:rFonts w:ascii="Cambria" w:hAnsi="Cambria"/>
          <w:iCs/>
          <w:lang w:val="en-US"/>
        </w:rPr>
        <w:t>despite the fact that</w:t>
      </w:r>
      <w:proofErr w:type="gramEnd"/>
      <w:r w:rsidR="009A16DF">
        <w:rPr>
          <w:rFonts w:ascii="Cambria" w:hAnsi="Cambria"/>
          <w:iCs/>
          <w:lang w:val="en-US"/>
        </w:rPr>
        <w:t xml:space="preserve"> we might be wrong, say, about the atomic number of each of these metals, or about the genetic sequences of the respective cereal grains.  And some of us do this knowledgeably and some less so.  We do so not by analyzing their essences, but by relying on our background knowledge and standard, commonly accepted criteria. That is what </w:t>
      </w:r>
      <w:r w:rsidR="009A16DF">
        <w:rPr>
          <w:rFonts w:ascii="Cambria" w:hAnsi="Cambria"/>
          <w:i/>
          <w:iCs/>
          <w:lang w:val="en-US"/>
        </w:rPr>
        <w:t xml:space="preserve">knowledge </w:t>
      </w:r>
      <w:r w:rsidR="009A16DF">
        <w:rPr>
          <w:rFonts w:ascii="Cambria" w:hAnsi="Cambria"/>
          <w:iCs/>
          <w:lang w:val="en-US"/>
        </w:rPr>
        <w:t>means in the workaday world, the only world in which it makes sense.  The fact that these practi</w:t>
      </w:r>
      <w:r w:rsidR="00003536">
        <w:rPr>
          <w:rFonts w:ascii="Cambria" w:hAnsi="Cambria"/>
          <w:iCs/>
          <w:lang w:val="en-US"/>
        </w:rPr>
        <w:t xml:space="preserve">ces work, and support each other mutually, is what vindicates them, and what leads us to take them as </w:t>
      </w:r>
      <w:r w:rsidR="00003536">
        <w:rPr>
          <w:rFonts w:ascii="Cambria" w:hAnsi="Cambria"/>
          <w:i/>
          <w:iCs/>
          <w:lang w:val="en-US"/>
        </w:rPr>
        <w:t>pramāṇas.</w:t>
      </w:r>
      <w:r w:rsidR="00003536">
        <w:rPr>
          <w:rFonts w:ascii="Cambria" w:hAnsi="Cambria"/>
          <w:iCs/>
          <w:lang w:val="en-US"/>
        </w:rPr>
        <w:t xml:space="preserve"> And, as the Panchen </w:t>
      </w:r>
      <w:r w:rsidR="00C40A3E">
        <w:rPr>
          <w:rFonts w:ascii="Cambria" w:hAnsi="Cambria"/>
          <w:iCs/>
          <w:lang w:val="en-US"/>
        </w:rPr>
        <w:t>L</w:t>
      </w:r>
      <w:r w:rsidR="00003536">
        <w:rPr>
          <w:rFonts w:ascii="Cambria" w:hAnsi="Cambria"/>
          <w:iCs/>
          <w:lang w:val="en-US"/>
        </w:rPr>
        <w:t xml:space="preserve">ama emphasizes, they can be veridical with respect to some aspects of their objects, but not with respect to others. To be reliable, to be epistemically efficacious, and to be a warrant for one property or aspect of a thing do not require being so for all aspects. </w:t>
      </w:r>
      <w:r w:rsidR="00A66763">
        <w:rPr>
          <w:rFonts w:ascii="Cambria" w:hAnsi="Cambria"/>
          <w:iCs/>
          <w:lang w:val="en-US"/>
        </w:rPr>
        <w:t xml:space="preserve">This, Panchen </w:t>
      </w:r>
      <w:proofErr w:type="spellStart"/>
      <w:r w:rsidR="00A66763">
        <w:rPr>
          <w:rFonts w:ascii="Cambria" w:hAnsi="Cambria"/>
          <w:iCs/>
          <w:lang w:val="en-US"/>
        </w:rPr>
        <w:t>Losang</w:t>
      </w:r>
      <w:proofErr w:type="spellEnd"/>
      <w:r w:rsidR="00A66763">
        <w:rPr>
          <w:rFonts w:ascii="Cambria" w:hAnsi="Cambria"/>
          <w:iCs/>
          <w:lang w:val="en-US"/>
        </w:rPr>
        <w:t xml:space="preserve"> Chökyi Gyaltsen argues, is why the idea of fallible, interdependent, conventional epistemic warrants makes sense.</w:t>
      </w:r>
    </w:p>
    <w:p w14:paraId="7B713338" w14:textId="3B500E16" w:rsidR="00623B30" w:rsidRPr="00804001" w:rsidRDefault="00921A59" w:rsidP="00804001">
      <w:pPr>
        <w:spacing w:after="180" w:line="360" w:lineRule="auto"/>
        <w:ind w:firstLine="720"/>
        <w:rPr>
          <w:rFonts w:ascii="Cambria" w:hAnsi="Cambria"/>
          <w:iCs/>
          <w:lang w:val="en-US"/>
        </w:rPr>
      </w:pPr>
      <w:r>
        <w:rPr>
          <w:rFonts w:ascii="Cambria" w:hAnsi="Cambria"/>
          <w:iCs/>
          <w:lang w:val="en-US"/>
        </w:rPr>
        <w:t>These two issues</w:t>
      </w:r>
      <w:r w:rsidR="00A66763">
        <w:rPr>
          <w:rFonts w:ascii="Cambria" w:hAnsi="Cambria"/>
          <w:iCs/>
          <w:lang w:val="en-US"/>
        </w:rPr>
        <w:t xml:space="preserve">—the independence of warrant from foundationalism and their pragmatically established conventional status—are connected. </w:t>
      </w:r>
      <w:r w:rsidR="00972C21">
        <w:rPr>
          <w:rFonts w:ascii="Cambria" w:hAnsi="Cambria"/>
          <w:iCs/>
          <w:lang w:val="en-US"/>
        </w:rPr>
        <w:t>For the promise of foundationalism—whether the Buddhist foundationalism of Dignāga and Dharmakīrti that informs Taktsang’s own understanding of what epistemology could be or that of the phenomenalists and logical positivists of the 20</w:t>
      </w:r>
      <w:r w:rsidR="00972C21" w:rsidRPr="00972C21">
        <w:rPr>
          <w:rFonts w:ascii="Cambria" w:hAnsi="Cambria"/>
          <w:iCs/>
          <w:vertAlign w:val="superscript"/>
          <w:lang w:val="en-US"/>
        </w:rPr>
        <w:t>th</w:t>
      </w:r>
      <w:r w:rsidR="00972C21">
        <w:rPr>
          <w:rFonts w:ascii="Cambria" w:hAnsi="Cambria"/>
          <w:iCs/>
          <w:lang w:val="en-US"/>
        </w:rPr>
        <w:t xml:space="preserve"> century West—is that knowledge can be secured once and for all on an unchanging, unshakable basis independent of any human conventions.  If that were the only way to secure human knowledge</w:t>
      </w:r>
      <w:r w:rsidR="00190C2D">
        <w:rPr>
          <w:rFonts w:ascii="Cambria" w:hAnsi="Cambria"/>
          <w:iCs/>
          <w:lang w:val="en-US"/>
        </w:rPr>
        <w:t xml:space="preserve">, then, given the untenability of the foundationalist program, we would be thrown into the epistemic nihilism that Taktsang defends. The remedy, as Tsongkhapa, Khedrup-jé, and Panchen </w:t>
      </w:r>
      <w:proofErr w:type="spellStart"/>
      <w:r w:rsidR="00190C2D">
        <w:rPr>
          <w:rFonts w:ascii="Cambria" w:hAnsi="Cambria"/>
          <w:iCs/>
          <w:lang w:val="en-US"/>
        </w:rPr>
        <w:t>Losang</w:t>
      </w:r>
      <w:proofErr w:type="spellEnd"/>
      <w:r w:rsidR="00190C2D">
        <w:rPr>
          <w:rFonts w:ascii="Cambria" w:hAnsi="Cambria"/>
          <w:iCs/>
          <w:lang w:val="en-US"/>
        </w:rPr>
        <w:t xml:space="preserve"> Chökyi </w:t>
      </w:r>
      <w:proofErr w:type="spellStart"/>
      <w:r w:rsidR="00190C2D">
        <w:rPr>
          <w:rFonts w:ascii="Cambria" w:hAnsi="Cambria"/>
          <w:iCs/>
          <w:lang w:val="en-US"/>
        </w:rPr>
        <w:t>Nyima</w:t>
      </w:r>
      <w:proofErr w:type="spellEnd"/>
      <w:r w:rsidR="00190C2D">
        <w:rPr>
          <w:rFonts w:ascii="Cambria" w:hAnsi="Cambria"/>
          <w:iCs/>
          <w:lang w:val="en-US"/>
        </w:rPr>
        <w:t xml:space="preserve"> saw clearly—as were </w:t>
      </w:r>
      <w:proofErr w:type="spellStart"/>
      <w:r w:rsidR="00190C2D">
        <w:rPr>
          <w:rFonts w:ascii="Cambria" w:hAnsi="Cambria"/>
          <w:iCs/>
          <w:lang w:val="en-US"/>
        </w:rPr>
        <w:t>Neurath</w:t>
      </w:r>
      <w:proofErr w:type="spellEnd"/>
      <w:r w:rsidR="00190C2D">
        <w:rPr>
          <w:rFonts w:ascii="Cambria" w:hAnsi="Cambria"/>
          <w:iCs/>
          <w:lang w:val="en-US"/>
        </w:rPr>
        <w:t xml:space="preserve">, Wittgenstein and Sellars over half a millennium later—is to recognize that knowing is something that we </w:t>
      </w:r>
      <w:r w:rsidR="00190C2D">
        <w:rPr>
          <w:rFonts w:ascii="Cambria" w:hAnsi="Cambria"/>
          <w:i/>
          <w:iCs/>
          <w:lang w:val="en-US"/>
        </w:rPr>
        <w:t xml:space="preserve">do, </w:t>
      </w:r>
      <w:r w:rsidR="00190C2D">
        <w:rPr>
          <w:rFonts w:ascii="Cambria" w:hAnsi="Cambria"/>
          <w:iCs/>
          <w:lang w:val="en-US"/>
        </w:rPr>
        <w:t xml:space="preserve">governed by human conventions, conventions that are justified pragmatically, that are self-correcting, </w:t>
      </w:r>
      <w:r w:rsidR="00190C2D">
        <w:rPr>
          <w:rFonts w:ascii="Cambria" w:hAnsi="Cambria"/>
          <w:iCs/>
          <w:lang w:val="en-US"/>
        </w:rPr>
        <w:lastRenderedPageBreak/>
        <w:t xml:space="preserve">and interdependent with the knowledge that they deliver. </w:t>
      </w:r>
      <w:r w:rsidR="00C40A3E">
        <w:rPr>
          <w:rFonts w:ascii="Cambria" w:hAnsi="Cambria"/>
          <w:iCs/>
          <w:lang w:val="en-US"/>
        </w:rPr>
        <w:t xml:space="preserve">  That self-correction in turn means that we can make real epistemic progress.</w:t>
      </w:r>
    </w:p>
    <w:p w14:paraId="7080055F" w14:textId="2B5B2455" w:rsidR="00E95E25" w:rsidRPr="00F95A94" w:rsidRDefault="00F74F95" w:rsidP="008D3792">
      <w:pPr>
        <w:keepNext/>
        <w:spacing w:before="60"/>
        <w:rPr>
          <w:rFonts w:ascii="Cambria" w:hAnsi="Cambria"/>
          <w:b/>
          <w:lang w:val="en-US"/>
        </w:rPr>
      </w:pPr>
      <w:r>
        <w:rPr>
          <w:rFonts w:ascii="Cambria" w:hAnsi="Cambria"/>
          <w:b/>
          <w:lang w:val="en-US"/>
        </w:rPr>
        <w:t>4</w:t>
      </w:r>
      <w:r w:rsidR="00E95E25" w:rsidRPr="00F95A94">
        <w:rPr>
          <w:rFonts w:ascii="Cambria" w:hAnsi="Cambria"/>
          <w:b/>
          <w:lang w:val="en-US"/>
        </w:rPr>
        <w:t>.  Epistemic Practice and Conventional Truth</w:t>
      </w:r>
      <w:r w:rsidR="00A66763">
        <w:rPr>
          <w:rFonts w:ascii="Cambria" w:hAnsi="Cambria"/>
          <w:b/>
          <w:lang w:val="en-US"/>
        </w:rPr>
        <w:t xml:space="preserve"> </w:t>
      </w:r>
    </w:p>
    <w:p w14:paraId="4E545546" w14:textId="77777777" w:rsidR="000D72C6" w:rsidRDefault="00804001" w:rsidP="00804001">
      <w:pPr>
        <w:spacing w:after="180" w:line="360" w:lineRule="auto"/>
        <w:rPr>
          <w:rFonts w:ascii="Cambria" w:hAnsi="Cambria"/>
          <w:lang w:val="en-US"/>
        </w:rPr>
      </w:pPr>
      <w:r>
        <w:rPr>
          <w:rFonts w:ascii="Cambria" w:hAnsi="Cambria"/>
          <w:lang w:val="en-US"/>
        </w:rPr>
        <w:t xml:space="preserve">The position articulated by these Geluk philosophers also helps to explain why conventional truth </w:t>
      </w:r>
      <w:proofErr w:type="gramStart"/>
      <w:r>
        <w:rPr>
          <w:rFonts w:ascii="Cambria" w:hAnsi="Cambria"/>
          <w:lang w:val="en-US"/>
        </w:rPr>
        <w:t xml:space="preserve">is a kind of </w:t>
      </w:r>
      <w:r>
        <w:rPr>
          <w:rFonts w:ascii="Cambria" w:hAnsi="Cambria"/>
          <w:i/>
          <w:lang w:val="en-US"/>
        </w:rPr>
        <w:t>truth</w:t>
      </w:r>
      <w:proofErr w:type="gramEnd"/>
      <w:r>
        <w:rPr>
          <w:rFonts w:ascii="Cambria" w:hAnsi="Cambria"/>
          <w:i/>
          <w:lang w:val="en-US"/>
        </w:rPr>
        <w:t xml:space="preserve">. </w:t>
      </w:r>
      <w:r>
        <w:rPr>
          <w:rFonts w:ascii="Cambria" w:hAnsi="Cambria"/>
          <w:lang w:val="en-US"/>
        </w:rPr>
        <w:t xml:space="preserve">That status is something that we have seen that </w:t>
      </w:r>
      <w:proofErr w:type="spellStart"/>
      <w:r>
        <w:rPr>
          <w:rFonts w:ascii="Cambria" w:hAnsi="Cambria"/>
          <w:lang w:val="en-US"/>
        </w:rPr>
        <w:t>Takstang</w:t>
      </w:r>
      <w:proofErr w:type="spellEnd"/>
      <w:r>
        <w:rPr>
          <w:rFonts w:ascii="Cambria" w:hAnsi="Cambria"/>
          <w:lang w:val="en-US"/>
        </w:rPr>
        <w:t xml:space="preserve"> denies, at least from the standpoint of Prāsaṅgika Madhyamaka. </w:t>
      </w:r>
      <w:r w:rsidR="000D72C6">
        <w:rPr>
          <w:rFonts w:ascii="Cambria" w:hAnsi="Cambria"/>
          <w:lang w:val="en-US"/>
        </w:rPr>
        <w:t xml:space="preserve">To say that conventional truth is a kind of truth is also to say that there is a difference between conventional truth and falsehood; </w:t>
      </w:r>
      <w:proofErr w:type="gramStart"/>
      <w:r w:rsidR="000D72C6">
        <w:rPr>
          <w:rFonts w:ascii="Cambria" w:hAnsi="Cambria"/>
          <w:lang w:val="en-US"/>
        </w:rPr>
        <w:t>otherwise</w:t>
      </w:r>
      <w:proofErr w:type="gramEnd"/>
      <w:r w:rsidR="000D72C6">
        <w:rPr>
          <w:rFonts w:ascii="Cambria" w:hAnsi="Cambria"/>
          <w:lang w:val="en-US"/>
        </w:rPr>
        <w:t xml:space="preserve"> truth would be vacuous. It is also to say that conventional reality is an object of knowledge, and that there is a difference between getting it right and getting it wrong </w:t>
      </w:r>
      <w:proofErr w:type="gramStart"/>
      <w:r w:rsidR="000D72C6">
        <w:rPr>
          <w:rFonts w:ascii="Cambria" w:hAnsi="Cambria"/>
          <w:lang w:val="en-US"/>
        </w:rPr>
        <w:t>with regard to</w:t>
      </w:r>
      <w:proofErr w:type="gramEnd"/>
      <w:r w:rsidR="000D72C6">
        <w:rPr>
          <w:rFonts w:ascii="Cambria" w:hAnsi="Cambria"/>
          <w:lang w:val="en-US"/>
        </w:rPr>
        <w:t xml:space="preserve"> the conventional. Hence the importance of epistemology in the Buddhist tradition.</w:t>
      </w:r>
    </w:p>
    <w:p w14:paraId="470A4BFB" w14:textId="406AB3E4" w:rsidR="00F95A94" w:rsidRDefault="00804001" w:rsidP="00B57DFA">
      <w:pPr>
        <w:spacing w:after="180" w:line="360" w:lineRule="auto"/>
        <w:ind w:firstLine="720"/>
        <w:rPr>
          <w:rFonts w:ascii="Cambria" w:hAnsi="Cambria"/>
          <w:lang w:val="en-US"/>
        </w:rPr>
      </w:pPr>
      <w:r>
        <w:rPr>
          <w:rFonts w:ascii="Cambria" w:hAnsi="Cambria"/>
          <w:lang w:val="en-US"/>
        </w:rPr>
        <w:t xml:space="preserve"> To deny the truth status of the conventional, as Nāgārjuna and Candrakīrti emphasize, is incoherent for at least three reasons. </w:t>
      </w:r>
      <w:r w:rsidR="005D5B37">
        <w:rPr>
          <w:rFonts w:ascii="Cambria" w:hAnsi="Cambria"/>
          <w:lang w:val="en-US"/>
        </w:rPr>
        <w:t xml:space="preserve">First, it would make it impossible for us to come to know ultimate truth, since the conventional is all </w:t>
      </w:r>
      <w:proofErr w:type="gramStart"/>
      <w:r w:rsidR="005D5B37">
        <w:rPr>
          <w:rFonts w:ascii="Cambria" w:hAnsi="Cambria"/>
          <w:lang w:val="en-US"/>
        </w:rPr>
        <w:t>that</w:t>
      </w:r>
      <w:proofErr w:type="gramEnd"/>
      <w:r w:rsidR="005D5B37">
        <w:rPr>
          <w:rFonts w:ascii="Cambria" w:hAnsi="Cambria"/>
          <w:lang w:val="en-US"/>
        </w:rPr>
        <w:t xml:space="preserve"> we have as a ladder to that goal.  Second, given the extensional identity of the conventional and the ultimate that is at the heart of Madhyamaka ontology, to disparage the conventional is to disparage the ultimate as well.  The putative contrast between the status of these two truths </w:t>
      </w:r>
      <w:r w:rsidR="005D5B37">
        <w:rPr>
          <w:rFonts w:ascii="Cambria" w:hAnsi="Cambria"/>
          <w:i/>
          <w:lang w:val="en-US"/>
        </w:rPr>
        <w:t xml:space="preserve">as truths </w:t>
      </w:r>
      <w:r w:rsidR="005D5B37">
        <w:rPr>
          <w:rFonts w:ascii="Cambria" w:hAnsi="Cambria"/>
          <w:lang w:val="en-US"/>
        </w:rPr>
        <w:t>is precisely that against which Madhyamaka analysis is directed.  Finally</w:t>
      </w:r>
      <w:r w:rsidR="00C40A3E">
        <w:rPr>
          <w:rFonts w:ascii="Cambria" w:hAnsi="Cambria"/>
          <w:lang w:val="en-US"/>
        </w:rPr>
        <w:t>, a</w:t>
      </w:r>
      <w:r w:rsidR="005D5B37">
        <w:rPr>
          <w:rFonts w:ascii="Cambria" w:hAnsi="Cambria"/>
          <w:lang w:val="en-US"/>
        </w:rPr>
        <w:t xml:space="preserve">ny rejection of conventional truth is self-undermining: for the assertion itself can be </w:t>
      </w:r>
      <w:r w:rsidR="00B57DFA">
        <w:rPr>
          <w:rFonts w:ascii="Cambria" w:hAnsi="Cambria"/>
          <w:lang w:val="en-US"/>
        </w:rPr>
        <w:t>only</w:t>
      </w:r>
      <w:r w:rsidR="005D5B37">
        <w:rPr>
          <w:rFonts w:ascii="Cambria" w:hAnsi="Cambria"/>
          <w:lang w:val="en-US"/>
        </w:rPr>
        <w:t xml:space="preserve"> conventional</w:t>
      </w:r>
      <w:r w:rsidR="00B57DFA">
        <w:rPr>
          <w:rFonts w:ascii="Cambria" w:hAnsi="Cambria"/>
          <w:lang w:val="en-US"/>
        </w:rPr>
        <w:t xml:space="preserve">, given its conceptual and discursive nature.  So, if there is no conventional truth, the statement that there is none is not true, either.  And any commitment to conventional truth is </w:t>
      </w:r>
      <w:r w:rsidR="00B57DFA">
        <w:rPr>
          <w:rFonts w:ascii="Cambria" w:hAnsi="Cambria"/>
          <w:i/>
          <w:lang w:val="en-US"/>
        </w:rPr>
        <w:t xml:space="preserve">ipso facto </w:t>
      </w:r>
      <w:r w:rsidR="00B57DFA">
        <w:rPr>
          <w:rFonts w:ascii="Cambria" w:hAnsi="Cambria"/>
          <w:lang w:val="en-US"/>
        </w:rPr>
        <w:t xml:space="preserve">a commitment to conventional knowledge, and hence to conventional </w:t>
      </w:r>
      <w:r w:rsidR="00B57DFA">
        <w:rPr>
          <w:rFonts w:ascii="Cambria" w:hAnsi="Cambria"/>
          <w:i/>
          <w:lang w:val="en-US"/>
        </w:rPr>
        <w:t>pramāṇas.</w:t>
      </w:r>
    </w:p>
    <w:p w14:paraId="054492E0" w14:textId="77777777" w:rsidR="00E95E25" w:rsidRDefault="00E95E25" w:rsidP="00E95E25">
      <w:pPr>
        <w:rPr>
          <w:rFonts w:ascii="Cambria" w:hAnsi="Cambria"/>
          <w:lang w:val="en-US"/>
        </w:rPr>
      </w:pPr>
    </w:p>
    <w:p w14:paraId="79069C31" w14:textId="1B3B67DE" w:rsidR="00E95E25" w:rsidRPr="00F95A94" w:rsidRDefault="00F95A94" w:rsidP="008D3792">
      <w:pPr>
        <w:keepNext/>
        <w:spacing w:before="60"/>
        <w:rPr>
          <w:rFonts w:ascii="Cambria" w:hAnsi="Cambria"/>
          <w:b/>
          <w:lang w:val="en-US"/>
        </w:rPr>
      </w:pPr>
      <w:r>
        <w:rPr>
          <w:rFonts w:ascii="Cambria" w:hAnsi="Cambria"/>
          <w:b/>
          <w:lang w:val="en-US"/>
        </w:rPr>
        <w:t>References</w:t>
      </w:r>
    </w:p>
    <w:p w14:paraId="09CF2F3B" w14:textId="3A68D126" w:rsidR="004D3947" w:rsidRDefault="004D3947" w:rsidP="004D3947">
      <w:pPr>
        <w:spacing w:after="180"/>
        <w:ind w:left="720" w:hanging="720"/>
        <w:rPr>
          <w:rFonts w:ascii="Cambria" w:hAnsi="Cambria"/>
          <w:sz w:val="22"/>
          <w:szCs w:val="22"/>
        </w:rPr>
      </w:pPr>
      <w:r>
        <w:rPr>
          <w:rFonts w:ascii="Cambria" w:hAnsi="Cambria"/>
          <w:sz w:val="22"/>
          <w:szCs w:val="22"/>
        </w:rPr>
        <w:t xml:space="preserve">Cabezón, J. (1993). </w:t>
      </w:r>
      <w:r>
        <w:rPr>
          <w:rFonts w:ascii="Cambria" w:hAnsi="Cambria"/>
          <w:i/>
          <w:sz w:val="22"/>
          <w:szCs w:val="22"/>
        </w:rPr>
        <w:t xml:space="preserve">A Dose of Emptiness. </w:t>
      </w:r>
      <w:r>
        <w:rPr>
          <w:rFonts w:ascii="Cambria" w:hAnsi="Cambria"/>
          <w:sz w:val="22"/>
          <w:szCs w:val="22"/>
        </w:rPr>
        <w:t>Albany: State University of New York Press.</w:t>
      </w:r>
    </w:p>
    <w:p w14:paraId="622C6682" w14:textId="69D5B462" w:rsidR="0051659D" w:rsidRPr="0051659D" w:rsidRDefault="0051659D" w:rsidP="004D3947">
      <w:pPr>
        <w:spacing w:after="180"/>
        <w:ind w:left="720" w:hanging="720"/>
        <w:rPr>
          <w:rFonts w:ascii="Cambria" w:hAnsi="Cambria"/>
          <w:sz w:val="22"/>
          <w:szCs w:val="22"/>
        </w:rPr>
      </w:pPr>
      <w:r>
        <w:rPr>
          <w:rFonts w:ascii="Cambria" w:hAnsi="Cambria"/>
          <w:sz w:val="22"/>
          <w:szCs w:val="22"/>
        </w:rPr>
        <w:t xml:space="preserve">Cabezón, J. (1994). </w:t>
      </w:r>
      <w:r>
        <w:rPr>
          <w:rFonts w:ascii="Cambria" w:hAnsi="Cambria"/>
          <w:i/>
          <w:sz w:val="22"/>
          <w:szCs w:val="22"/>
        </w:rPr>
        <w:t>Buddhism and Language: A Study of Indo-Tibetan Scholasticism.</w:t>
      </w:r>
      <w:r>
        <w:rPr>
          <w:rFonts w:ascii="Cambria" w:hAnsi="Cambria"/>
          <w:sz w:val="22"/>
          <w:szCs w:val="22"/>
        </w:rPr>
        <w:t xml:space="preserve"> Albany: State University of New York Press.</w:t>
      </w:r>
    </w:p>
    <w:p w14:paraId="54F288BB" w14:textId="18E1E658" w:rsidR="00B57DFA" w:rsidRDefault="00B57DFA" w:rsidP="004D3947">
      <w:pPr>
        <w:spacing w:after="180"/>
        <w:ind w:left="720" w:hanging="720"/>
        <w:rPr>
          <w:rFonts w:ascii="Cambria" w:hAnsi="Cambria"/>
          <w:iCs/>
          <w:sz w:val="22"/>
          <w:szCs w:val="22"/>
        </w:rPr>
      </w:pPr>
      <w:r>
        <w:rPr>
          <w:rFonts w:ascii="Cambria" w:hAnsi="Cambria"/>
          <w:sz w:val="22"/>
          <w:szCs w:val="22"/>
        </w:rPr>
        <w:t>Cabez</w:t>
      </w:r>
      <w:r w:rsidR="0051659D">
        <w:rPr>
          <w:rFonts w:ascii="Cambria" w:hAnsi="Cambria"/>
          <w:sz w:val="22"/>
          <w:szCs w:val="22"/>
        </w:rPr>
        <w:t>ó</w:t>
      </w:r>
      <w:r>
        <w:rPr>
          <w:rFonts w:ascii="Cambria" w:hAnsi="Cambria"/>
          <w:sz w:val="22"/>
          <w:szCs w:val="22"/>
        </w:rPr>
        <w:t xml:space="preserve">n, J. (1998). </w:t>
      </w:r>
      <w:r>
        <w:rPr>
          <w:rFonts w:ascii="Cambria" w:hAnsi="Cambria"/>
          <w:i/>
          <w:sz w:val="22"/>
          <w:szCs w:val="22"/>
        </w:rPr>
        <w:t xml:space="preserve">Scholasticism: </w:t>
      </w:r>
      <w:r w:rsidR="0051659D">
        <w:rPr>
          <w:rFonts w:ascii="Cambria" w:hAnsi="Cambria"/>
          <w:i/>
          <w:sz w:val="22"/>
          <w:szCs w:val="22"/>
        </w:rPr>
        <w:t xml:space="preserve">Cross-Cultural and Comparative Perspectives. </w:t>
      </w:r>
      <w:r w:rsidR="0051659D">
        <w:rPr>
          <w:rFonts w:ascii="Cambria" w:hAnsi="Cambria"/>
          <w:iCs/>
          <w:sz w:val="22"/>
          <w:szCs w:val="22"/>
        </w:rPr>
        <w:t>Albany: State University of New York Press.</w:t>
      </w:r>
    </w:p>
    <w:p w14:paraId="2D4E8959" w14:textId="4E7E0949" w:rsidR="004513B9" w:rsidRPr="004513B9" w:rsidRDefault="004513B9" w:rsidP="004D3947">
      <w:pPr>
        <w:spacing w:after="180"/>
        <w:ind w:left="720" w:hanging="720"/>
        <w:rPr>
          <w:rFonts w:ascii="Cambria" w:hAnsi="Cambria"/>
          <w:iCs/>
          <w:sz w:val="22"/>
          <w:szCs w:val="22"/>
          <w:lang w:val="en-US"/>
        </w:rPr>
      </w:pPr>
      <w:r>
        <w:rPr>
          <w:rFonts w:ascii="Cambria" w:hAnsi="Cambria"/>
          <w:iCs/>
          <w:sz w:val="22"/>
          <w:szCs w:val="22"/>
        </w:rPr>
        <w:lastRenderedPageBreak/>
        <w:t xml:space="preserve">Candrakīrti. (2003). </w:t>
      </w:r>
      <w:proofErr w:type="spellStart"/>
      <w:r>
        <w:rPr>
          <w:rFonts w:ascii="Cambria" w:hAnsi="Cambria"/>
          <w:i/>
          <w:iCs/>
          <w:sz w:val="22"/>
          <w:szCs w:val="22"/>
        </w:rPr>
        <w:t>Mūlamadhyamakavṛtti</w:t>
      </w:r>
      <w:proofErr w:type="spellEnd"/>
      <w:r>
        <w:rPr>
          <w:rFonts w:ascii="Cambria" w:hAnsi="Cambria"/>
          <w:i/>
          <w:iCs/>
          <w:sz w:val="22"/>
          <w:szCs w:val="22"/>
        </w:rPr>
        <w:t xml:space="preserve"> Prasannapadā.</w:t>
      </w:r>
      <w:r w:rsidRPr="004513B9">
        <w:rPr>
          <w:rFonts w:ascii="Cambria" w:hAnsi="Cambria"/>
          <w:iCs/>
          <w:sz w:val="22"/>
          <w:szCs w:val="22"/>
        </w:rPr>
        <w:t>(</w:t>
      </w:r>
      <w:r>
        <w:rPr>
          <w:rFonts w:ascii="Cambria" w:hAnsi="Cambria"/>
          <w:iCs/>
          <w:sz w:val="22"/>
          <w:szCs w:val="22"/>
          <w:lang w:val="en-US"/>
        </w:rPr>
        <w:t>Tibetan Edition). Sarnath: Gelukpa Student Welfare Committee.</w:t>
      </w:r>
    </w:p>
    <w:p w14:paraId="6CBC1A51" w14:textId="36694BA8" w:rsidR="00090FF3" w:rsidRPr="00090FF3" w:rsidRDefault="00090FF3" w:rsidP="00090FF3">
      <w:pPr>
        <w:spacing w:after="180"/>
        <w:ind w:left="720" w:hanging="720"/>
        <w:rPr>
          <w:rFonts w:ascii="Cambria" w:hAnsi="Cambria"/>
          <w:sz w:val="22"/>
          <w:szCs w:val="22"/>
        </w:rPr>
      </w:pPr>
      <w:r>
        <w:rPr>
          <w:rFonts w:ascii="Cambria" w:hAnsi="Cambria"/>
          <w:sz w:val="22"/>
          <w:szCs w:val="22"/>
        </w:rPr>
        <w:t xml:space="preserve">Dreyfus, G. and J. Garfield (2010). “Madhyamaka and Classical Greek Scepticism, in Cowherds, </w:t>
      </w:r>
      <w:r w:rsidRPr="00090FF3">
        <w:rPr>
          <w:rFonts w:ascii="Cambria" w:hAnsi="Cambria"/>
          <w:i/>
          <w:sz w:val="22"/>
          <w:szCs w:val="22"/>
        </w:rPr>
        <w:t>Moonshadows: Conventional Truth in Buddhist Philosophy</w:t>
      </w:r>
      <w:r>
        <w:rPr>
          <w:rFonts w:ascii="Cambria" w:hAnsi="Cambria"/>
          <w:sz w:val="22"/>
          <w:szCs w:val="22"/>
        </w:rPr>
        <w:t xml:space="preserve">. New York: Oxford University Press, 115-130. </w:t>
      </w:r>
    </w:p>
    <w:p w14:paraId="4715B4D8" w14:textId="4BE57630" w:rsidR="00090FF3" w:rsidRPr="00090FF3" w:rsidRDefault="00090FF3" w:rsidP="00090FF3">
      <w:pPr>
        <w:spacing w:after="180"/>
        <w:ind w:left="720" w:hanging="720"/>
        <w:rPr>
          <w:rFonts w:ascii="Cambria" w:hAnsi="Cambria"/>
          <w:sz w:val="22"/>
          <w:szCs w:val="22"/>
        </w:rPr>
      </w:pPr>
      <w:r>
        <w:rPr>
          <w:rFonts w:ascii="Cambria" w:hAnsi="Cambria"/>
          <w:sz w:val="22"/>
          <w:szCs w:val="22"/>
        </w:rPr>
        <w:t xml:space="preserve">Dreyfus, G. and J. Garfield. (2022). “Madhyamaka and Skepticism” (with Georges Dreyfus), </w:t>
      </w:r>
      <w:r w:rsidRPr="00090FF3">
        <w:rPr>
          <w:rFonts w:ascii="Cambria" w:hAnsi="Cambria"/>
          <w:i/>
          <w:sz w:val="22"/>
          <w:szCs w:val="22"/>
        </w:rPr>
        <w:t>International Journal for the Study of Skepticism</w:t>
      </w:r>
      <w:r w:rsidRPr="00090FF3">
        <w:rPr>
          <w:rFonts w:ascii="Cambria" w:hAnsi="Cambria"/>
          <w:sz w:val="22"/>
          <w:szCs w:val="22"/>
        </w:rPr>
        <w:t xml:space="preserve"> </w:t>
      </w:r>
      <w:r>
        <w:rPr>
          <w:rFonts w:ascii="Cambria" w:hAnsi="Cambria"/>
          <w:sz w:val="22"/>
          <w:szCs w:val="22"/>
        </w:rPr>
        <w:t>12  pp. 4-26.</w:t>
      </w:r>
    </w:p>
    <w:p w14:paraId="1BD8A1D8" w14:textId="1F1DE4E4" w:rsidR="00736E8A" w:rsidRPr="00466ECC" w:rsidRDefault="00736E8A" w:rsidP="00736E8A">
      <w:pPr>
        <w:spacing w:after="180"/>
        <w:ind w:left="720" w:hanging="720"/>
        <w:rPr>
          <w:rFonts w:ascii="Cambria" w:hAnsi="Cambria"/>
          <w:sz w:val="22"/>
          <w:szCs w:val="22"/>
        </w:rPr>
      </w:pPr>
      <w:r>
        <w:rPr>
          <w:rFonts w:ascii="Cambria" w:hAnsi="Cambria"/>
          <w:sz w:val="22"/>
          <w:szCs w:val="22"/>
        </w:rPr>
        <w:t xml:space="preserve">Garfield, J. (2020). </w:t>
      </w:r>
      <w:r w:rsidRPr="00466ECC">
        <w:rPr>
          <w:rFonts w:ascii="Cambria" w:hAnsi="Cambria"/>
          <w:sz w:val="22"/>
          <w:szCs w:val="22"/>
        </w:rPr>
        <w:t xml:space="preserve">“Thinking Beyond Thought: Tsongkhapa and Mipham on the Categorized Ultimate,” </w:t>
      </w:r>
      <w:r w:rsidRPr="00466ECC">
        <w:rPr>
          <w:rFonts w:ascii="Cambria" w:hAnsi="Cambria"/>
          <w:i/>
          <w:sz w:val="22"/>
          <w:szCs w:val="22"/>
        </w:rPr>
        <w:t xml:space="preserve">Philosophy East and West </w:t>
      </w:r>
      <w:r w:rsidRPr="00466ECC">
        <w:rPr>
          <w:rFonts w:ascii="Cambria" w:hAnsi="Cambria"/>
          <w:sz w:val="22"/>
          <w:szCs w:val="22"/>
        </w:rPr>
        <w:t>70:2, pp. 1-16. (2020)</w:t>
      </w:r>
    </w:p>
    <w:p w14:paraId="76165D0B" w14:textId="7F375BF1" w:rsidR="004D3947" w:rsidRDefault="004D3947" w:rsidP="004D3947">
      <w:pPr>
        <w:spacing w:after="180"/>
        <w:ind w:left="720" w:hanging="720"/>
        <w:rPr>
          <w:rFonts w:ascii="Cambria" w:hAnsi="Cambria"/>
          <w:sz w:val="22"/>
          <w:szCs w:val="22"/>
        </w:rPr>
      </w:pPr>
      <w:r>
        <w:rPr>
          <w:rFonts w:ascii="Cambria" w:hAnsi="Cambria"/>
          <w:sz w:val="22"/>
          <w:szCs w:val="22"/>
        </w:rPr>
        <w:t>Garfield, J.</w:t>
      </w:r>
      <w:r w:rsidRPr="004D3947">
        <w:rPr>
          <w:rFonts w:ascii="Cambria" w:hAnsi="Cambria"/>
          <w:sz w:val="22"/>
          <w:szCs w:val="22"/>
        </w:rPr>
        <w:t xml:space="preserve"> </w:t>
      </w:r>
      <w:r>
        <w:rPr>
          <w:rFonts w:ascii="Cambria" w:hAnsi="Cambria"/>
          <w:sz w:val="22"/>
          <w:szCs w:val="22"/>
        </w:rPr>
        <w:t>(2023) “</w:t>
      </w:r>
      <w:r w:rsidRPr="00E75C55">
        <w:rPr>
          <w:rFonts w:ascii="Cambria" w:hAnsi="Cambria"/>
          <w:sz w:val="22"/>
          <w:szCs w:val="22"/>
        </w:rPr>
        <w:t>Tibetan Buddhist Accounts of the Epistemology of</w:t>
      </w:r>
      <w:r>
        <w:rPr>
          <w:rFonts w:ascii="Cambria" w:hAnsi="Cambria"/>
          <w:sz w:val="22"/>
          <w:szCs w:val="22"/>
        </w:rPr>
        <w:t xml:space="preserve"> </w:t>
      </w:r>
      <w:r w:rsidRPr="00E75C55">
        <w:rPr>
          <w:rFonts w:ascii="Cambria" w:hAnsi="Cambria"/>
          <w:sz w:val="22"/>
          <w:szCs w:val="22"/>
        </w:rPr>
        <w:t xml:space="preserve">Awakening: </w:t>
      </w:r>
      <w:r>
        <w:rPr>
          <w:rFonts w:ascii="Cambria" w:hAnsi="Cambria"/>
          <w:sz w:val="22"/>
          <w:szCs w:val="22"/>
        </w:rPr>
        <w:t>Omniscience</w:t>
      </w:r>
      <w:r w:rsidRPr="00E75C55">
        <w:rPr>
          <w:rFonts w:ascii="Cambria" w:hAnsi="Cambria"/>
          <w:sz w:val="22"/>
          <w:szCs w:val="22"/>
        </w:rPr>
        <w:t xml:space="preserve"> and </w:t>
      </w:r>
      <w:r>
        <w:rPr>
          <w:rFonts w:ascii="Cambria" w:hAnsi="Cambria"/>
          <w:sz w:val="22"/>
          <w:szCs w:val="22"/>
        </w:rPr>
        <w:t xml:space="preserve">Epistemic </w:t>
      </w:r>
      <w:r w:rsidRPr="00E75C55">
        <w:rPr>
          <w:rFonts w:ascii="Cambria" w:hAnsi="Cambria"/>
          <w:sz w:val="22"/>
          <w:szCs w:val="22"/>
        </w:rPr>
        <w:t>Authority</w:t>
      </w:r>
      <w:r>
        <w:rPr>
          <w:rFonts w:ascii="Cambria" w:hAnsi="Cambria"/>
          <w:sz w:val="22"/>
          <w:szCs w:val="22"/>
        </w:rPr>
        <w:t>,”</w:t>
      </w:r>
      <w:r w:rsidRPr="00E75C55">
        <w:rPr>
          <w:rFonts w:ascii="Cambria" w:hAnsi="Cambria"/>
          <w:sz w:val="22"/>
          <w:szCs w:val="22"/>
        </w:rPr>
        <w:t xml:space="preserve"> for</w:t>
      </w:r>
      <w:r>
        <w:rPr>
          <w:rFonts w:ascii="Cambria" w:hAnsi="Cambria"/>
          <w:sz w:val="22"/>
          <w:szCs w:val="22"/>
        </w:rPr>
        <w:t>thcoming in</w:t>
      </w:r>
      <w:r w:rsidRPr="00E75C55">
        <w:rPr>
          <w:rFonts w:ascii="Cambria" w:hAnsi="Cambria"/>
          <w:sz w:val="22"/>
          <w:szCs w:val="22"/>
        </w:rPr>
        <w:t xml:space="preserve"> Nagasawa and Mohammed, eds., </w:t>
      </w:r>
      <w:r w:rsidRPr="00E75C55">
        <w:rPr>
          <w:rFonts w:ascii="Cambria" w:hAnsi="Cambria"/>
          <w:i/>
          <w:sz w:val="22"/>
          <w:szCs w:val="22"/>
        </w:rPr>
        <w:t xml:space="preserve">Global Dialogues in the </w:t>
      </w:r>
      <w:r w:rsidRPr="002C7D79">
        <w:rPr>
          <w:rFonts w:ascii="Cambria" w:hAnsi="Cambria"/>
          <w:sz w:val="22"/>
          <w:szCs w:val="22"/>
        </w:rPr>
        <w:t>Philosophy</w:t>
      </w:r>
      <w:r w:rsidRPr="00E75C55">
        <w:rPr>
          <w:rFonts w:ascii="Cambria" w:hAnsi="Cambria"/>
          <w:i/>
          <w:sz w:val="22"/>
          <w:szCs w:val="22"/>
        </w:rPr>
        <w:t xml:space="preserve"> of Religion: From Religious Experience to the Afterlife</w:t>
      </w:r>
      <w:r w:rsidRPr="00E75C55">
        <w:rPr>
          <w:rFonts w:ascii="Cambria" w:hAnsi="Cambria"/>
          <w:sz w:val="22"/>
          <w:szCs w:val="22"/>
        </w:rPr>
        <w:t>, Oxford University Press</w:t>
      </w:r>
      <w:r>
        <w:rPr>
          <w:rFonts w:ascii="Cambria" w:hAnsi="Cambria"/>
          <w:sz w:val="22"/>
          <w:szCs w:val="22"/>
        </w:rPr>
        <w:t xml:space="preserve">. </w:t>
      </w:r>
    </w:p>
    <w:p w14:paraId="67B09FB5" w14:textId="6661B740" w:rsidR="00C8119E" w:rsidRDefault="00C8119E" w:rsidP="00F95A94">
      <w:pPr>
        <w:spacing w:after="180"/>
        <w:ind w:left="720" w:hanging="720"/>
        <w:rPr>
          <w:rFonts w:ascii="Times New Roman" w:eastAsia="Times New Roman" w:hAnsi="Times New Roman" w:cs="Times New Roman"/>
          <w:iCs/>
          <w:szCs w:val="24"/>
          <w:lang w:eastAsia="en-GB" w:bidi="he-IL"/>
        </w:rPr>
      </w:pPr>
      <w:proofErr w:type="spellStart"/>
      <w:r w:rsidRPr="00C8119E">
        <w:rPr>
          <w:rFonts w:ascii="Times New Roman" w:eastAsia="Times New Roman" w:hAnsi="Times New Roman" w:cs="Times New Roman"/>
          <w:i/>
          <w:iCs/>
          <w:szCs w:val="24"/>
          <w:lang w:eastAsia="en-GB" w:bidi="he-IL"/>
        </w:rPr>
        <w:t>Neurath</w:t>
      </w:r>
      <w:proofErr w:type="spellEnd"/>
      <w:r w:rsidRPr="00C8119E">
        <w:rPr>
          <w:rFonts w:ascii="Times New Roman" w:eastAsia="Times New Roman" w:hAnsi="Times New Roman" w:cs="Times New Roman"/>
          <w:i/>
          <w:iCs/>
          <w:szCs w:val="24"/>
          <w:lang w:eastAsia="en-GB" w:bidi="he-IL"/>
        </w:rPr>
        <w:t xml:space="preserve">, Otto (1973) [1921]. </w:t>
      </w:r>
      <w:hyperlink r:id="rId7" w:history="1">
        <w:r w:rsidRPr="00C8119E">
          <w:rPr>
            <w:rFonts w:ascii="Times New Roman" w:eastAsia="Times New Roman" w:hAnsi="Times New Roman" w:cs="Times New Roman"/>
            <w:i/>
            <w:iCs/>
            <w:color w:val="0000FF"/>
            <w:szCs w:val="24"/>
            <w:u w:val="single"/>
            <w:lang w:eastAsia="en-GB" w:bidi="he-IL"/>
          </w:rPr>
          <w:t>"Anti-Spengler"</w:t>
        </w:r>
      </w:hyperlink>
      <w:r w:rsidRPr="00C8119E">
        <w:rPr>
          <w:rFonts w:ascii="Times New Roman" w:eastAsia="Times New Roman" w:hAnsi="Times New Roman" w:cs="Times New Roman"/>
          <w:i/>
          <w:iCs/>
          <w:szCs w:val="24"/>
          <w:lang w:eastAsia="en-GB" w:bidi="he-IL"/>
        </w:rPr>
        <w:t xml:space="preserve">. Empiricism and Sociology. Vienna Circle Collection. Vol. 1. Dordrecht: D. </w:t>
      </w:r>
      <w:proofErr w:type="spellStart"/>
      <w:r w:rsidRPr="00C8119E">
        <w:rPr>
          <w:rFonts w:ascii="Times New Roman" w:eastAsia="Times New Roman" w:hAnsi="Times New Roman" w:cs="Times New Roman"/>
          <w:i/>
          <w:iCs/>
          <w:szCs w:val="24"/>
          <w:lang w:eastAsia="en-GB" w:bidi="he-IL"/>
        </w:rPr>
        <w:t>Reidel</w:t>
      </w:r>
      <w:proofErr w:type="spellEnd"/>
      <w:r w:rsidRPr="00C8119E">
        <w:rPr>
          <w:rFonts w:ascii="Times New Roman" w:eastAsia="Times New Roman" w:hAnsi="Times New Roman" w:cs="Times New Roman"/>
          <w:i/>
          <w:iCs/>
          <w:szCs w:val="24"/>
          <w:lang w:eastAsia="en-GB" w:bidi="he-IL"/>
        </w:rPr>
        <w:t>. pp. </w:t>
      </w:r>
      <w:hyperlink r:id="rId8" w:history="1">
        <w:r w:rsidRPr="00C8119E">
          <w:rPr>
            <w:rFonts w:ascii="Times New Roman" w:eastAsia="Times New Roman" w:hAnsi="Times New Roman" w:cs="Times New Roman"/>
            <w:i/>
            <w:iCs/>
            <w:color w:val="0000FF"/>
            <w:szCs w:val="24"/>
            <w:u w:val="single"/>
            <w:lang w:eastAsia="en-GB" w:bidi="he-IL"/>
          </w:rPr>
          <w:t>158–213</w:t>
        </w:r>
      </w:hyperlink>
    </w:p>
    <w:p w14:paraId="4DBFF9CD" w14:textId="67FF050B" w:rsidR="00E74D4C" w:rsidRDefault="00E74D4C" w:rsidP="00F95A94">
      <w:pPr>
        <w:spacing w:after="180"/>
        <w:ind w:left="720" w:hanging="720"/>
        <w:rPr>
          <w:rFonts w:ascii="Times New Roman" w:eastAsia="Times New Roman" w:hAnsi="Times New Roman" w:cs="Times New Roman"/>
          <w:iCs/>
          <w:szCs w:val="24"/>
          <w:lang w:eastAsia="en-GB" w:bidi="he-IL"/>
        </w:rPr>
      </w:pPr>
      <w:r>
        <w:rPr>
          <w:rFonts w:ascii="Times New Roman" w:eastAsia="Times New Roman" w:hAnsi="Times New Roman" w:cs="Times New Roman"/>
          <w:iCs/>
          <w:szCs w:val="24"/>
          <w:lang w:eastAsia="en-GB" w:bidi="he-IL"/>
        </w:rPr>
        <w:t xml:space="preserve">Powers, J. (1994). “Empiricism and Pragmatism in the Thought of Dharmakīrti and William James,” </w:t>
      </w:r>
      <w:r>
        <w:rPr>
          <w:rFonts w:ascii="Times New Roman" w:eastAsia="Times New Roman" w:hAnsi="Times New Roman" w:cs="Times New Roman"/>
          <w:i/>
          <w:iCs/>
          <w:szCs w:val="24"/>
          <w:lang w:eastAsia="en-GB" w:bidi="he-IL"/>
        </w:rPr>
        <w:t xml:space="preserve">American Journal of Theology and Philosophy </w:t>
      </w:r>
      <w:r>
        <w:rPr>
          <w:rFonts w:ascii="Times New Roman" w:eastAsia="Times New Roman" w:hAnsi="Times New Roman" w:cs="Times New Roman"/>
          <w:iCs/>
          <w:szCs w:val="24"/>
          <w:lang w:eastAsia="en-GB" w:bidi="he-IL"/>
        </w:rPr>
        <w:t xml:space="preserve">15:1, pp. </w:t>
      </w:r>
      <w:r w:rsidR="00293C01">
        <w:rPr>
          <w:rFonts w:ascii="Times New Roman" w:eastAsia="Times New Roman" w:hAnsi="Times New Roman" w:cs="Times New Roman"/>
          <w:iCs/>
          <w:szCs w:val="24"/>
          <w:lang w:eastAsia="en-GB" w:bidi="he-IL"/>
        </w:rPr>
        <w:t>59-85.</w:t>
      </w:r>
    </w:p>
    <w:p w14:paraId="3D716105" w14:textId="623C7EF9" w:rsidR="00B4367E" w:rsidRPr="00B4367E" w:rsidRDefault="00B4367E" w:rsidP="00F95A94">
      <w:pPr>
        <w:spacing w:after="180"/>
        <w:ind w:left="720" w:hanging="720"/>
        <w:rPr>
          <w:rFonts w:ascii="Times New Roman" w:eastAsia="Times New Roman" w:hAnsi="Times New Roman" w:cs="Times New Roman"/>
          <w:iCs/>
          <w:szCs w:val="24"/>
          <w:lang w:eastAsia="en-GB" w:bidi="he-IL"/>
        </w:rPr>
      </w:pPr>
      <w:r>
        <w:rPr>
          <w:rFonts w:ascii="Times New Roman" w:eastAsia="Times New Roman" w:hAnsi="Times New Roman" w:cs="Times New Roman"/>
          <w:iCs/>
          <w:szCs w:val="24"/>
          <w:lang w:eastAsia="en-GB" w:bidi="he-IL"/>
        </w:rPr>
        <w:t xml:space="preserve">Tsongkhapa. (2012). </w:t>
      </w:r>
      <w:r>
        <w:rPr>
          <w:rFonts w:ascii="Times New Roman" w:eastAsia="Times New Roman" w:hAnsi="Times New Roman" w:cs="Times New Roman"/>
          <w:i/>
          <w:iCs/>
          <w:szCs w:val="24"/>
          <w:lang w:eastAsia="en-GB" w:bidi="he-IL"/>
        </w:rPr>
        <w:t xml:space="preserve">Great Exposition of the Stages of the Path to Enlightenment </w:t>
      </w:r>
      <w:r>
        <w:rPr>
          <w:rFonts w:ascii="Times New Roman" w:eastAsia="Times New Roman" w:hAnsi="Times New Roman" w:cs="Times New Roman"/>
          <w:iCs/>
          <w:szCs w:val="24"/>
          <w:lang w:eastAsia="en-GB" w:bidi="he-IL"/>
        </w:rPr>
        <w:t xml:space="preserve">vol. 3. (trans Lamrim </w:t>
      </w:r>
      <w:proofErr w:type="spellStart"/>
      <w:r>
        <w:rPr>
          <w:rFonts w:ascii="Times New Roman" w:eastAsia="Times New Roman" w:hAnsi="Times New Roman" w:cs="Times New Roman"/>
          <w:iCs/>
          <w:szCs w:val="24"/>
          <w:lang w:eastAsia="en-GB" w:bidi="he-IL"/>
        </w:rPr>
        <w:t>Chenmo</w:t>
      </w:r>
      <w:proofErr w:type="spellEnd"/>
      <w:r>
        <w:rPr>
          <w:rFonts w:ascii="Times New Roman" w:eastAsia="Times New Roman" w:hAnsi="Times New Roman" w:cs="Times New Roman"/>
          <w:iCs/>
          <w:szCs w:val="24"/>
          <w:lang w:eastAsia="en-GB" w:bidi="he-IL"/>
        </w:rPr>
        <w:t xml:space="preserve"> Translation Committee). Ithaca: Snow Lion.</w:t>
      </w:r>
    </w:p>
    <w:p w14:paraId="08516FE1" w14:textId="584405A2" w:rsidR="004D3947" w:rsidRPr="00C8119E" w:rsidRDefault="004D3947" w:rsidP="00F95A94">
      <w:pPr>
        <w:spacing w:after="180"/>
        <w:ind w:left="720" w:hanging="720"/>
        <w:rPr>
          <w:rFonts w:ascii="Times New Roman" w:eastAsia="Times New Roman" w:hAnsi="Times New Roman" w:cs="Times New Roman"/>
          <w:szCs w:val="24"/>
          <w:lang w:eastAsia="en-GB" w:bidi="he-IL"/>
        </w:rPr>
      </w:pPr>
      <w:r>
        <w:rPr>
          <w:rFonts w:ascii="Times New Roman" w:eastAsia="Times New Roman" w:hAnsi="Times New Roman" w:cs="Times New Roman"/>
          <w:iCs/>
          <w:szCs w:val="24"/>
          <w:lang w:eastAsia="en-GB" w:bidi="he-IL"/>
        </w:rPr>
        <w:t>Yakherds. (202</w:t>
      </w:r>
      <w:r w:rsidR="000D72C6">
        <w:rPr>
          <w:rFonts w:ascii="Times New Roman" w:eastAsia="Times New Roman" w:hAnsi="Times New Roman" w:cs="Times New Roman"/>
          <w:iCs/>
          <w:szCs w:val="24"/>
          <w:lang w:eastAsia="en-GB" w:bidi="he-IL"/>
        </w:rPr>
        <w:t>1</w:t>
      </w:r>
      <w:r>
        <w:rPr>
          <w:rFonts w:ascii="Times New Roman" w:eastAsia="Times New Roman" w:hAnsi="Times New Roman" w:cs="Times New Roman"/>
          <w:iCs/>
          <w:szCs w:val="24"/>
          <w:lang w:eastAsia="en-GB" w:bidi="he-IL"/>
        </w:rPr>
        <w:t xml:space="preserve">). </w:t>
      </w:r>
      <w:r>
        <w:rPr>
          <w:rFonts w:ascii="Times New Roman" w:eastAsia="Times New Roman" w:hAnsi="Times New Roman" w:cs="Times New Roman"/>
          <w:i/>
          <w:iCs/>
          <w:szCs w:val="24"/>
          <w:lang w:eastAsia="en-GB" w:bidi="he-IL"/>
        </w:rPr>
        <w:t xml:space="preserve">Knowing Illusion: Bringing a Tibetan Debate into Contemporary Discourse. </w:t>
      </w:r>
      <w:r>
        <w:rPr>
          <w:rFonts w:ascii="Times New Roman" w:eastAsia="Times New Roman" w:hAnsi="Times New Roman" w:cs="Times New Roman"/>
          <w:iCs/>
          <w:szCs w:val="24"/>
          <w:lang w:eastAsia="en-GB" w:bidi="he-IL"/>
        </w:rPr>
        <w:t>New York: Oxford University Press.</w:t>
      </w:r>
    </w:p>
    <w:p w14:paraId="414652B4" w14:textId="77777777" w:rsidR="006F17A3" w:rsidRPr="006F17A3" w:rsidRDefault="006F17A3" w:rsidP="006F17A3">
      <w:pPr>
        <w:rPr>
          <w:rFonts w:ascii="Cambria" w:hAnsi="Cambria"/>
          <w:lang w:val="en-US"/>
        </w:rPr>
      </w:pPr>
    </w:p>
    <w:p w14:paraId="2FE01374" w14:textId="77777777" w:rsidR="00B57DFA" w:rsidRPr="006F17A3" w:rsidRDefault="00B57DFA">
      <w:pPr>
        <w:rPr>
          <w:rFonts w:ascii="Cambria" w:hAnsi="Cambria"/>
          <w:lang w:val="en-US"/>
        </w:rPr>
      </w:pPr>
    </w:p>
    <w:sectPr w:rsidR="00B57DFA" w:rsidRPr="006F17A3" w:rsidSect="009C044B">
      <w:headerReference w:type="even" r:id="rId9"/>
      <w:headerReference w:type="defaul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78681" w14:textId="77777777" w:rsidR="00290473" w:rsidRDefault="00290473" w:rsidP="006027D1">
      <w:r>
        <w:separator/>
      </w:r>
    </w:p>
  </w:endnote>
  <w:endnote w:type="continuationSeparator" w:id="0">
    <w:p w14:paraId="26FCD637" w14:textId="77777777" w:rsidR="00290473" w:rsidRDefault="00290473" w:rsidP="00602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Minion Pro">
    <w:panose1 w:val="02040503050306020203"/>
    <w:charset w:val="00"/>
    <w:family w:val="roman"/>
    <w:pitch w:val="variable"/>
    <w:sig w:usb0="6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E348B" w14:textId="77777777" w:rsidR="00290473" w:rsidRDefault="00290473" w:rsidP="006027D1">
      <w:r>
        <w:separator/>
      </w:r>
    </w:p>
  </w:footnote>
  <w:footnote w:type="continuationSeparator" w:id="0">
    <w:p w14:paraId="303F6B00" w14:textId="77777777" w:rsidR="00290473" w:rsidRDefault="00290473" w:rsidP="006027D1">
      <w:r>
        <w:continuationSeparator/>
      </w:r>
    </w:p>
  </w:footnote>
  <w:footnote w:id="1">
    <w:p w14:paraId="1B0A7010" w14:textId="758D8B12" w:rsidR="004D3947" w:rsidRPr="004D3947" w:rsidRDefault="004D3947" w:rsidP="004D3947">
      <w:pPr>
        <w:rPr>
          <w:rFonts w:ascii="Cambria" w:hAnsi="Cambria"/>
          <w:sz w:val="22"/>
          <w:szCs w:val="22"/>
          <w:lang w:val="en-US"/>
        </w:rPr>
      </w:pPr>
      <w:r w:rsidRPr="004D3947">
        <w:rPr>
          <w:rStyle w:val="FootnoteReference"/>
          <w:rFonts w:ascii="Cambria" w:hAnsi="Cambria"/>
          <w:sz w:val="22"/>
          <w:szCs w:val="22"/>
        </w:rPr>
        <w:footnoteRef/>
      </w:r>
      <w:r w:rsidRPr="004D3947">
        <w:rPr>
          <w:rFonts w:ascii="Cambria" w:hAnsi="Cambria"/>
          <w:sz w:val="22"/>
          <w:szCs w:val="22"/>
        </w:rPr>
        <w:t xml:space="preserve"> </w:t>
      </w:r>
      <w:r>
        <w:rPr>
          <w:rFonts w:ascii="Cambria" w:hAnsi="Cambria"/>
          <w:sz w:val="22"/>
          <w:szCs w:val="22"/>
        </w:rPr>
        <w:t xml:space="preserve">This is so </w:t>
      </w:r>
      <w:r w:rsidRPr="004D3947">
        <w:rPr>
          <w:rFonts w:ascii="Cambria" w:hAnsi="Cambria"/>
          <w:sz w:val="22"/>
          <w:szCs w:val="22"/>
          <w:lang w:val="en-US"/>
        </w:rPr>
        <w:t>although there is considerable debate concerning what that knowledge amounts to, and what the relevant phenomena are</w:t>
      </w:r>
      <w:r w:rsidR="00CC70B0">
        <w:rPr>
          <w:rFonts w:ascii="Cambria" w:hAnsi="Cambria"/>
          <w:sz w:val="22"/>
          <w:szCs w:val="22"/>
          <w:lang w:val="en-US"/>
        </w:rPr>
        <w:t>. A good deal of that debate is prosecuted in the context of the Tsongkhapa-</w:t>
      </w:r>
      <w:proofErr w:type="spellStart"/>
      <w:r w:rsidR="00CC70B0">
        <w:rPr>
          <w:rFonts w:ascii="Cambria" w:hAnsi="Cambria"/>
          <w:sz w:val="22"/>
          <w:szCs w:val="22"/>
          <w:lang w:val="en-US"/>
        </w:rPr>
        <w:t>Takstang</w:t>
      </w:r>
      <w:proofErr w:type="spellEnd"/>
      <w:r w:rsidRPr="004D3947">
        <w:rPr>
          <w:rFonts w:ascii="Cambria" w:hAnsi="Cambria"/>
          <w:sz w:val="22"/>
          <w:szCs w:val="22"/>
          <w:lang w:val="en-US"/>
        </w:rPr>
        <w:t xml:space="preserve"> </w:t>
      </w:r>
      <w:r w:rsidR="00CC70B0">
        <w:rPr>
          <w:rFonts w:ascii="Cambria" w:hAnsi="Cambria"/>
          <w:sz w:val="22"/>
          <w:szCs w:val="22"/>
          <w:lang w:val="en-US"/>
        </w:rPr>
        <w:t xml:space="preserve">dispute. </w:t>
      </w:r>
      <w:r w:rsidRPr="004D3947">
        <w:rPr>
          <w:rFonts w:ascii="Cambria" w:hAnsi="Cambria"/>
          <w:sz w:val="22"/>
          <w:szCs w:val="22"/>
          <w:lang w:val="en-US"/>
        </w:rPr>
        <w:t xml:space="preserve"> </w:t>
      </w:r>
      <w:r w:rsidR="00CC70B0">
        <w:rPr>
          <w:rFonts w:ascii="Cambria" w:hAnsi="Cambria"/>
          <w:sz w:val="22"/>
          <w:szCs w:val="22"/>
          <w:lang w:val="en-US"/>
        </w:rPr>
        <w:t xml:space="preserve">But this </w:t>
      </w:r>
      <w:proofErr w:type="gramStart"/>
      <w:r w:rsidR="00CC70B0">
        <w:rPr>
          <w:rFonts w:ascii="Cambria" w:hAnsi="Cambria"/>
          <w:sz w:val="22"/>
          <w:szCs w:val="22"/>
          <w:lang w:val="en-US"/>
        </w:rPr>
        <w:t xml:space="preserve">issue </w:t>
      </w:r>
      <w:r w:rsidRPr="004D3947">
        <w:rPr>
          <w:rFonts w:ascii="Cambria" w:hAnsi="Cambria"/>
          <w:sz w:val="22"/>
          <w:szCs w:val="22"/>
          <w:lang w:val="en-US"/>
        </w:rPr>
        <w:t xml:space="preserve"> need</w:t>
      </w:r>
      <w:proofErr w:type="gramEnd"/>
      <w:r w:rsidRPr="004D3947">
        <w:rPr>
          <w:rFonts w:ascii="Cambria" w:hAnsi="Cambria"/>
          <w:sz w:val="22"/>
          <w:szCs w:val="22"/>
          <w:lang w:val="en-US"/>
        </w:rPr>
        <w:t xml:space="preserve"> not detain us here</w:t>
      </w:r>
      <w:r>
        <w:rPr>
          <w:rFonts w:ascii="Cambria" w:hAnsi="Cambria"/>
          <w:sz w:val="22"/>
          <w:szCs w:val="22"/>
          <w:lang w:val="en-US"/>
        </w:rPr>
        <w:t>. (Garfield 2023)</w:t>
      </w:r>
    </w:p>
    <w:p w14:paraId="3BEB6CD4" w14:textId="7A79D845" w:rsidR="004D3947" w:rsidRPr="004D3947" w:rsidRDefault="004D3947">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1800948"/>
      <w:docPartObj>
        <w:docPartGallery w:val="Page Numbers (Top of Page)"/>
        <w:docPartUnique/>
      </w:docPartObj>
    </w:sdtPr>
    <w:sdtContent>
      <w:p w14:paraId="0791B3AA" w14:textId="3076E742" w:rsidR="006027D1" w:rsidRDefault="006027D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3F6850" w14:textId="77777777" w:rsidR="006027D1" w:rsidRDefault="006027D1" w:rsidP="006027D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34421265"/>
      <w:docPartObj>
        <w:docPartGallery w:val="Page Numbers (Top of Page)"/>
        <w:docPartUnique/>
      </w:docPartObj>
    </w:sdtPr>
    <w:sdtEndPr>
      <w:rPr>
        <w:rStyle w:val="PageNumber"/>
        <w:rFonts w:ascii="Cambria" w:hAnsi="Cambria"/>
      </w:rPr>
    </w:sdtEndPr>
    <w:sdtContent>
      <w:p w14:paraId="6F8F2B1C" w14:textId="49B37D84" w:rsidR="006027D1" w:rsidRDefault="006027D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E26BF8C" w14:textId="77777777" w:rsidR="006027D1" w:rsidRDefault="006027D1" w:rsidP="006027D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48E7"/>
    <w:multiLevelType w:val="hybridMultilevel"/>
    <w:tmpl w:val="915A998C"/>
    <w:lvl w:ilvl="0" w:tplc="3CFCF7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F4448B2"/>
    <w:multiLevelType w:val="multilevel"/>
    <w:tmpl w:val="C3369DE6"/>
    <w:lvl w:ilvl="0">
      <w:start w:val="1"/>
      <w:numFmt w:val="decimal"/>
      <w:lvlText w:val="%1."/>
      <w:lvlJc w:val="left"/>
      <w:pPr>
        <w:tabs>
          <w:tab w:val="num" w:pos="1440"/>
        </w:tabs>
        <w:ind w:left="1440" w:hanging="720"/>
      </w:pPr>
    </w:lvl>
    <w:lvl w:ilvl="1">
      <w:start w:val="1"/>
      <w:numFmt w:val="decimal"/>
      <w:isLgl/>
      <w:lvlText w:val="%1.%2"/>
      <w:lvlJc w:val="left"/>
      <w:pPr>
        <w:tabs>
          <w:tab w:val="num" w:pos="2160"/>
        </w:tabs>
        <w:ind w:left="2160" w:hanging="1440"/>
      </w:pPr>
    </w:lvl>
    <w:lvl w:ilvl="2">
      <w:start w:val="1"/>
      <w:numFmt w:val="decimal"/>
      <w:isLgl/>
      <w:lvlText w:val="%1.%2.%3"/>
      <w:lvlJc w:val="left"/>
      <w:pPr>
        <w:tabs>
          <w:tab w:val="num" w:pos="2160"/>
        </w:tabs>
        <w:ind w:left="2160" w:hanging="1440"/>
      </w:pPr>
    </w:lvl>
    <w:lvl w:ilvl="3">
      <w:start w:val="2"/>
      <w:numFmt w:val="decimal"/>
      <w:isLgl/>
      <w:lvlText w:val="%1.%2.%3.%4"/>
      <w:lvlJc w:val="left"/>
      <w:pPr>
        <w:tabs>
          <w:tab w:val="num" w:pos="2160"/>
        </w:tabs>
        <w:ind w:left="2160" w:hanging="1440"/>
      </w:pPr>
    </w:lvl>
    <w:lvl w:ilvl="4">
      <w:start w:val="1"/>
      <w:numFmt w:val="decimal"/>
      <w:isLgl/>
      <w:lvlText w:val="%1.%2.%3.%4.%5"/>
      <w:lvlJc w:val="left"/>
      <w:pPr>
        <w:tabs>
          <w:tab w:val="num" w:pos="2160"/>
        </w:tabs>
        <w:ind w:left="2160" w:hanging="1440"/>
      </w:pPr>
    </w:lvl>
    <w:lvl w:ilvl="5">
      <w:start w:val="1"/>
      <w:numFmt w:val="decimal"/>
      <w:isLgl/>
      <w:lvlText w:val="%1.%2.%3.%4.%5.%6"/>
      <w:lvlJc w:val="left"/>
      <w:pPr>
        <w:tabs>
          <w:tab w:val="num" w:pos="2160"/>
        </w:tabs>
        <w:ind w:left="2160" w:hanging="1440"/>
      </w:pPr>
    </w:lvl>
    <w:lvl w:ilvl="6">
      <w:start w:val="1"/>
      <w:numFmt w:val="decimal"/>
      <w:isLgl/>
      <w:lvlText w:val="%1.%2.%3.%4.%5.%6.%7"/>
      <w:lvlJc w:val="left"/>
      <w:pPr>
        <w:tabs>
          <w:tab w:val="num" w:pos="2520"/>
        </w:tabs>
        <w:ind w:left="2520" w:hanging="1800"/>
      </w:pPr>
    </w:lvl>
    <w:lvl w:ilvl="7">
      <w:start w:val="1"/>
      <w:numFmt w:val="decimal"/>
      <w:isLgl/>
      <w:lvlText w:val="%1.%2.%3.%4.%5.%6.%7.%8"/>
      <w:lvlJc w:val="left"/>
      <w:pPr>
        <w:tabs>
          <w:tab w:val="num" w:pos="2520"/>
        </w:tabs>
        <w:ind w:left="2520" w:hanging="1800"/>
      </w:pPr>
    </w:lvl>
    <w:lvl w:ilvl="8">
      <w:start w:val="1"/>
      <w:numFmt w:val="decimal"/>
      <w:isLgl/>
      <w:lvlText w:val="%1.%2.%3.%4.%5.%6.%7.%8.%9"/>
      <w:lvlJc w:val="left"/>
      <w:pPr>
        <w:tabs>
          <w:tab w:val="num" w:pos="2880"/>
        </w:tabs>
        <w:ind w:left="2880" w:hanging="2160"/>
      </w:pPr>
    </w:lvl>
  </w:abstractNum>
  <w:abstractNum w:abstractNumId="2" w15:restartNumberingAfterBreak="0">
    <w:nsid w:val="453C4DC2"/>
    <w:multiLevelType w:val="hybridMultilevel"/>
    <w:tmpl w:val="A4666A28"/>
    <w:lvl w:ilvl="0" w:tplc="FB50D5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5101679">
    <w:abstractNumId w:val="2"/>
  </w:num>
  <w:num w:numId="2" w16cid:durableId="4483733">
    <w:abstractNumId w:val="0"/>
  </w:num>
  <w:num w:numId="3" w16cid:durableId="917982137">
    <w:abstractNumId w:val="1"/>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370"/>
    <w:rsid w:val="00003536"/>
    <w:rsid w:val="000373F1"/>
    <w:rsid w:val="00046488"/>
    <w:rsid w:val="00061A89"/>
    <w:rsid w:val="00090FF3"/>
    <w:rsid w:val="000B6514"/>
    <w:rsid w:val="000D1923"/>
    <w:rsid w:val="000D72C6"/>
    <w:rsid w:val="000E42F8"/>
    <w:rsid w:val="00115CC6"/>
    <w:rsid w:val="00116209"/>
    <w:rsid w:val="00150AB8"/>
    <w:rsid w:val="001573CA"/>
    <w:rsid w:val="001725B4"/>
    <w:rsid w:val="00185FD9"/>
    <w:rsid w:val="00190C2D"/>
    <w:rsid w:val="001B4B36"/>
    <w:rsid w:val="001F3235"/>
    <w:rsid w:val="001F4368"/>
    <w:rsid w:val="002119D2"/>
    <w:rsid w:val="0028619F"/>
    <w:rsid w:val="00290473"/>
    <w:rsid w:val="00293C01"/>
    <w:rsid w:val="002C4F48"/>
    <w:rsid w:val="002C6CBA"/>
    <w:rsid w:val="002E7CD5"/>
    <w:rsid w:val="0033034D"/>
    <w:rsid w:val="00382EE6"/>
    <w:rsid w:val="00383B80"/>
    <w:rsid w:val="003A0ACC"/>
    <w:rsid w:val="003A7FD8"/>
    <w:rsid w:val="003B6D2B"/>
    <w:rsid w:val="003F6F68"/>
    <w:rsid w:val="0040031E"/>
    <w:rsid w:val="004513B9"/>
    <w:rsid w:val="004557ED"/>
    <w:rsid w:val="00485B2D"/>
    <w:rsid w:val="004C1FE6"/>
    <w:rsid w:val="004D3947"/>
    <w:rsid w:val="004D7F26"/>
    <w:rsid w:val="00504B17"/>
    <w:rsid w:val="0051659D"/>
    <w:rsid w:val="005714E9"/>
    <w:rsid w:val="00573E2C"/>
    <w:rsid w:val="005D5B37"/>
    <w:rsid w:val="006027D1"/>
    <w:rsid w:val="00623B30"/>
    <w:rsid w:val="00632C85"/>
    <w:rsid w:val="006357D8"/>
    <w:rsid w:val="006455F6"/>
    <w:rsid w:val="00665434"/>
    <w:rsid w:val="00676605"/>
    <w:rsid w:val="00696ABF"/>
    <w:rsid w:val="006A18EA"/>
    <w:rsid w:val="006A35AF"/>
    <w:rsid w:val="006D4E87"/>
    <w:rsid w:val="006F17A3"/>
    <w:rsid w:val="00727FD9"/>
    <w:rsid w:val="00730B14"/>
    <w:rsid w:val="00736E8A"/>
    <w:rsid w:val="00783CA8"/>
    <w:rsid w:val="00795CD7"/>
    <w:rsid w:val="007A2575"/>
    <w:rsid w:val="00804001"/>
    <w:rsid w:val="00807FD2"/>
    <w:rsid w:val="00812C58"/>
    <w:rsid w:val="008142B4"/>
    <w:rsid w:val="00820F40"/>
    <w:rsid w:val="00826272"/>
    <w:rsid w:val="0083087D"/>
    <w:rsid w:val="00837816"/>
    <w:rsid w:val="00850A98"/>
    <w:rsid w:val="00860EE2"/>
    <w:rsid w:val="00873310"/>
    <w:rsid w:val="00883A4B"/>
    <w:rsid w:val="008A63DC"/>
    <w:rsid w:val="008B384E"/>
    <w:rsid w:val="008D3792"/>
    <w:rsid w:val="0090784B"/>
    <w:rsid w:val="00921A59"/>
    <w:rsid w:val="009668CB"/>
    <w:rsid w:val="00970370"/>
    <w:rsid w:val="00970FEC"/>
    <w:rsid w:val="00972C21"/>
    <w:rsid w:val="00975062"/>
    <w:rsid w:val="009A16DF"/>
    <w:rsid w:val="009C044B"/>
    <w:rsid w:val="009D081E"/>
    <w:rsid w:val="009D66A0"/>
    <w:rsid w:val="00A66763"/>
    <w:rsid w:val="00A717F6"/>
    <w:rsid w:val="00A80813"/>
    <w:rsid w:val="00AF282C"/>
    <w:rsid w:val="00AF5985"/>
    <w:rsid w:val="00B00953"/>
    <w:rsid w:val="00B233FD"/>
    <w:rsid w:val="00B4367E"/>
    <w:rsid w:val="00B57B3C"/>
    <w:rsid w:val="00B57DFA"/>
    <w:rsid w:val="00B70987"/>
    <w:rsid w:val="00BD0771"/>
    <w:rsid w:val="00BD6BBB"/>
    <w:rsid w:val="00C16DBB"/>
    <w:rsid w:val="00C409E2"/>
    <w:rsid w:val="00C40A3E"/>
    <w:rsid w:val="00C73439"/>
    <w:rsid w:val="00C750BA"/>
    <w:rsid w:val="00C8119E"/>
    <w:rsid w:val="00CC6E1C"/>
    <w:rsid w:val="00CC70B0"/>
    <w:rsid w:val="00D265E4"/>
    <w:rsid w:val="00D34EF9"/>
    <w:rsid w:val="00D45439"/>
    <w:rsid w:val="00D50D96"/>
    <w:rsid w:val="00D94C57"/>
    <w:rsid w:val="00D9621F"/>
    <w:rsid w:val="00DB2442"/>
    <w:rsid w:val="00DC07B7"/>
    <w:rsid w:val="00DF676A"/>
    <w:rsid w:val="00E24D43"/>
    <w:rsid w:val="00E744AF"/>
    <w:rsid w:val="00E74D4C"/>
    <w:rsid w:val="00E771B7"/>
    <w:rsid w:val="00E81820"/>
    <w:rsid w:val="00E95E25"/>
    <w:rsid w:val="00EA0F84"/>
    <w:rsid w:val="00EA2203"/>
    <w:rsid w:val="00EA4ACE"/>
    <w:rsid w:val="00F301CD"/>
    <w:rsid w:val="00F31A48"/>
    <w:rsid w:val="00F359BA"/>
    <w:rsid w:val="00F74F95"/>
    <w:rsid w:val="00F95A94"/>
    <w:rsid w:val="00FA1A14"/>
    <w:rsid w:val="00FA6BD2"/>
    <w:rsid w:val="00FA778D"/>
    <w:rsid w:val="00FB2B16"/>
    <w:rsid w:val="00FB78E5"/>
  </w:rsids>
  <m:mathPr>
    <m:mathFont m:val="Cambria Math"/>
    <m:brkBin m:val="before"/>
    <m:brkBinSub m:val="--"/>
    <m:smallFrac m:val="0"/>
    <m:dispDef/>
    <m:lMargin m:val="0"/>
    <m:rMargin m:val="0"/>
    <m:defJc m:val="centerGroup"/>
    <m:wrapIndent m:val="1440"/>
    <m:intLim m:val="subSup"/>
    <m:naryLim m:val="undOvr"/>
  </m:mathPr>
  <w:themeFontLang w:val="en-SG" w:bidi="bo-CN"/>
  <w:clrSchemeMapping w:bg1="light1" w:t1="dark1" w:bg2="light2" w:t2="dark2" w:accent1="accent1" w:accent2="accent2" w:accent3="accent3" w:accent4="accent4" w:accent5="accent5" w:accent6="accent6" w:hyperlink="hyperlink" w:followedHyperlink="followedHyperlink"/>
  <w:decimalSymbol w:val="."/>
  <w:listSeparator w:val=","/>
  <w14:docId w14:val="78257F66"/>
  <w15:docId w15:val="{648586EC-A956-5A49-A9D6-953B02BDD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4"/>
        <w:lang w:val="en-SG" w:eastAsia="en-US"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17A3"/>
    <w:pPr>
      <w:ind w:left="720"/>
      <w:contextualSpacing/>
    </w:pPr>
  </w:style>
  <w:style w:type="character" w:styleId="HTMLCite">
    <w:name w:val="HTML Cite"/>
    <w:basedOn w:val="DefaultParagraphFont"/>
    <w:uiPriority w:val="99"/>
    <w:semiHidden/>
    <w:unhideWhenUsed/>
    <w:rsid w:val="00C8119E"/>
    <w:rPr>
      <w:i/>
      <w:iCs/>
    </w:rPr>
  </w:style>
  <w:style w:type="character" w:customStyle="1" w:styleId="cs1-lock-registration">
    <w:name w:val="cs1-lock-registration"/>
    <w:basedOn w:val="DefaultParagraphFont"/>
    <w:rsid w:val="00C8119E"/>
  </w:style>
  <w:style w:type="character" w:styleId="Hyperlink">
    <w:name w:val="Hyperlink"/>
    <w:basedOn w:val="DefaultParagraphFont"/>
    <w:uiPriority w:val="99"/>
    <w:semiHidden/>
    <w:unhideWhenUsed/>
    <w:rsid w:val="00C8119E"/>
    <w:rPr>
      <w:color w:val="0000FF"/>
      <w:u w:val="single"/>
    </w:rPr>
  </w:style>
  <w:style w:type="paragraph" w:styleId="Header">
    <w:name w:val="header"/>
    <w:basedOn w:val="Normal"/>
    <w:link w:val="HeaderChar"/>
    <w:uiPriority w:val="99"/>
    <w:unhideWhenUsed/>
    <w:rsid w:val="006027D1"/>
    <w:pPr>
      <w:tabs>
        <w:tab w:val="center" w:pos="4513"/>
        <w:tab w:val="right" w:pos="9026"/>
      </w:tabs>
    </w:pPr>
  </w:style>
  <w:style w:type="character" w:customStyle="1" w:styleId="HeaderChar">
    <w:name w:val="Header Char"/>
    <w:basedOn w:val="DefaultParagraphFont"/>
    <w:link w:val="Header"/>
    <w:uiPriority w:val="99"/>
    <w:rsid w:val="006027D1"/>
    <w:rPr>
      <w:rFonts w:eastAsiaTheme="minorEastAsia" w:cs="Arial Unicode MS"/>
    </w:rPr>
  </w:style>
  <w:style w:type="character" w:styleId="PageNumber">
    <w:name w:val="page number"/>
    <w:basedOn w:val="DefaultParagraphFont"/>
    <w:uiPriority w:val="99"/>
    <w:semiHidden/>
    <w:unhideWhenUsed/>
    <w:rsid w:val="006027D1"/>
  </w:style>
  <w:style w:type="paragraph" w:styleId="Footer">
    <w:name w:val="footer"/>
    <w:basedOn w:val="Normal"/>
    <w:link w:val="FooterChar"/>
    <w:uiPriority w:val="99"/>
    <w:unhideWhenUsed/>
    <w:rsid w:val="006027D1"/>
    <w:pPr>
      <w:tabs>
        <w:tab w:val="center" w:pos="4513"/>
        <w:tab w:val="right" w:pos="9026"/>
      </w:tabs>
    </w:pPr>
  </w:style>
  <w:style w:type="character" w:customStyle="1" w:styleId="FooterChar">
    <w:name w:val="Footer Char"/>
    <w:basedOn w:val="DefaultParagraphFont"/>
    <w:link w:val="Footer"/>
    <w:uiPriority w:val="99"/>
    <w:rsid w:val="006027D1"/>
    <w:rPr>
      <w:rFonts w:eastAsiaTheme="minorEastAsia" w:cs="Arial Unicode MS"/>
    </w:rPr>
  </w:style>
  <w:style w:type="paragraph" w:styleId="FootnoteText">
    <w:name w:val="footnote text"/>
    <w:basedOn w:val="Normal"/>
    <w:link w:val="FootnoteTextChar"/>
    <w:uiPriority w:val="99"/>
    <w:semiHidden/>
    <w:unhideWhenUsed/>
    <w:rsid w:val="004D3947"/>
    <w:rPr>
      <w:sz w:val="20"/>
      <w:szCs w:val="29"/>
    </w:rPr>
  </w:style>
  <w:style w:type="character" w:customStyle="1" w:styleId="FootnoteTextChar">
    <w:name w:val="Footnote Text Char"/>
    <w:basedOn w:val="DefaultParagraphFont"/>
    <w:link w:val="FootnoteText"/>
    <w:uiPriority w:val="99"/>
    <w:semiHidden/>
    <w:rsid w:val="004D3947"/>
    <w:rPr>
      <w:rFonts w:eastAsiaTheme="minorEastAsia" w:cs="Arial Unicode MS"/>
      <w:sz w:val="20"/>
      <w:szCs w:val="29"/>
    </w:rPr>
  </w:style>
  <w:style w:type="character" w:styleId="FootnoteReference">
    <w:name w:val="footnote reference"/>
    <w:basedOn w:val="DefaultParagraphFont"/>
    <w:uiPriority w:val="99"/>
    <w:semiHidden/>
    <w:unhideWhenUsed/>
    <w:rsid w:val="004D394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87023">
      <w:bodyDiv w:val="1"/>
      <w:marLeft w:val="0"/>
      <w:marRight w:val="0"/>
      <w:marTop w:val="0"/>
      <w:marBottom w:val="0"/>
      <w:divBdr>
        <w:top w:val="none" w:sz="0" w:space="0" w:color="auto"/>
        <w:left w:val="none" w:sz="0" w:space="0" w:color="auto"/>
        <w:bottom w:val="none" w:sz="0" w:space="0" w:color="auto"/>
        <w:right w:val="none" w:sz="0" w:space="0" w:color="auto"/>
      </w:divBdr>
    </w:div>
    <w:div w:id="438914057">
      <w:bodyDiv w:val="1"/>
      <w:marLeft w:val="0"/>
      <w:marRight w:val="0"/>
      <w:marTop w:val="0"/>
      <w:marBottom w:val="0"/>
      <w:divBdr>
        <w:top w:val="none" w:sz="0" w:space="0" w:color="auto"/>
        <w:left w:val="none" w:sz="0" w:space="0" w:color="auto"/>
        <w:bottom w:val="none" w:sz="0" w:space="0" w:color="auto"/>
        <w:right w:val="none" w:sz="0" w:space="0" w:color="auto"/>
      </w:divBdr>
    </w:div>
    <w:div w:id="821508298">
      <w:bodyDiv w:val="1"/>
      <w:marLeft w:val="0"/>
      <w:marRight w:val="0"/>
      <w:marTop w:val="0"/>
      <w:marBottom w:val="0"/>
      <w:divBdr>
        <w:top w:val="none" w:sz="0" w:space="0" w:color="auto"/>
        <w:left w:val="none" w:sz="0" w:space="0" w:color="auto"/>
        <w:bottom w:val="none" w:sz="0" w:space="0" w:color="auto"/>
        <w:right w:val="none" w:sz="0" w:space="0" w:color="auto"/>
      </w:divBdr>
    </w:div>
    <w:div w:id="1530338604">
      <w:bodyDiv w:val="1"/>
      <w:marLeft w:val="0"/>
      <w:marRight w:val="0"/>
      <w:marTop w:val="0"/>
      <w:marBottom w:val="0"/>
      <w:divBdr>
        <w:top w:val="none" w:sz="0" w:space="0" w:color="auto"/>
        <w:left w:val="none" w:sz="0" w:space="0" w:color="auto"/>
        <w:bottom w:val="none" w:sz="0" w:space="0" w:color="auto"/>
        <w:right w:val="none" w:sz="0" w:space="0" w:color="auto"/>
      </w:divBdr>
    </w:div>
    <w:div w:id="1751737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rchive.org/details/empiricismsociol0000neur/page/158" TargetMode="External"/><Relationship Id="rId3" Type="http://schemas.openxmlformats.org/officeDocument/2006/relationships/settings" Target="settings.xml"/><Relationship Id="rId7" Type="http://schemas.openxmlformats.org/officeDocument/2006/relationships/hyperlink" Target="https://archive.org/details/empiricismsociol0000neur/page/15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13</Pages>
  <Words>4398</Words>
  <Characters>25073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Lazar Garfield</dc:creator>
  <cp:keywords/>
  <dc:description/>
  <cp:lastModifiedBy>Jay Lazar Garfield</cp:lastModifiedBy>
  <cp:revision>3</cp:revision>
  <cp:lastPrinted>2022-06-27T15:43:00Z</cp:lastPrinted>
  <dcterms:created xsi:type="dcterms:W3CDTF">2022-07-07T17:22:00Z</dcterms:created>
  <dcterms:modified xsi:type="dcterms:W3CDTF">2022-07-07T18:55:00Z</dcterms:modified>
</cp:coreProperties>
</file>