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9B30F" w14:textId="77777777" w:rsidR="00970370" w:rsidRDefault="00970370" w:rsidP="00970370">
      <w:pPr>
        <w:jc w:val="center"/>
        <w:rPr>
          <w:rFonts w:ascii="Cambria" w:hAnsi="Cambria"/>
          <w:b/>
          <w:lang w:val="en-US"/>
        </w:rPr>
      </w:pPr>
      <w:r w:rsidRPr="00970370">
        <w:rPr>
          <w:rFonts w:ascii="Cambria" w:hAnsi="Cambria"/>
          <w:b/>
          <w:lang w:val="en-US"/>
        </w:rPr>
        <w:t xml:space="preserve">Sailing </w:t>
      </w:r>
      <w:proofErr w:type="spellStart"/>
      <w:r w:rsidRPr="00970370">
        <w:rPr>
          <w:rFonts w:ascii="Cambria" w:hAnsi="Cambria"/>
          <w:b/>
          <w:lang w:val="en-US"/>
        </w:rPr>
        <w:t>Neurath’s</w:t>
      </w:r>
      <w:proofErr w:type="spellEnd"/>
      <w:r w:rsidRPr="00970370">
        <w:rPr>
          <w:rFonts w:ascii="Cambria" w:hAnsi="Cambria"/>
          <w:b/>
          <w:lang w:val="en-US"/>
        </w:rPr>
        <w:t xml:space="preserve"> Ship Across the Ocean of Samsara: </w:t>
      </w:r>
    </w:p>
    <w:p w14:paraId="0ACE160F" w14:textId="1E06D58D" w:rsidR="00970370" w:rsidRPr="00970370" w:rsidRDefault="00E95E25" w:rsidP="00970370">
      <w:pPr>
        <w:jc w:val="center"/>
        <w:rPr>
          <w:rFonts w:ascii="Cambria" w:hAnsi="Cambria"/>
          <w:b/>
          <w:lang w:val="en-US"/>
        </w:rPr>
      </w:pPr>
      <w:r>
        <w:rPr>
          <w:rFonts w:ascii="Cambria" w:hAnsi="Cambria"/>
          <w:b/>
          <w:lang w:val="en-US"/>
        </w:rPr>
        <w:t>Why</w:t>
      </w:r>
      <w:r w:rsidR="00970370" w:rsidRPr="00970370">
        <w:rPr>
          <w:rFonts w:ascii="Cambria" w:hAnsi="Cambria"/>
          <w:b/>
          <w:lang w:val="en-US"/>
        </w:rPr>
        <w:t xml:space="preserve"> Geluk Epistemology</w:t>
      </w:r>
      <w:r>
        <w:rPr>
          <w:rFonts w:ascii="Cambria" w:hAnsi="Cambria"/>
          <w:b/>
          <w:lang w:val="en-US"/>
        </w:rPr>
        <w:t xml:space="preserve"> Provides the Most Reliable Compass</w:t>
      </w:r>
    </w:p>
    <w:p w14:paraId="6429DD4C" w14:textId="351B9835" w:rsidR="00970370" w:rsidRPr="00970370" w:rsidRDefault="00970370" w:rsidP="00970370">
      <w:pPr>
        <w:jc w:val="center"/>
        <w:rPr>
          <w:rFonts w:ascii="Cambria" w:hAnsi="Cambria"/>
          <w:b/>
          <w:lang w:val="en-US"/>
        </w:rPr>
      </w:pPr>
    </w:p>
    <w:p w14:paraId="7EAAFCCC" w14:textId="30B9DC87" w:rsidR="00970370" w:rsidRPr="00970370" w:rsidRDefault="00970370" w:rsidP="00970370">
      <w:pPr>
        <w:jc w:val="center"/>
        <w:rPr>
          <w:rFonts w:ascii="Cambria" w:hAnsi="Cambria"/>
          <w:b/>
          <w:lang w:val="en-US"/>
        </w:rPr>
      </w:pPr>
      <w:r w:rsidRPr="00970370">
        <w:rPr>
          <w:rFonts w:ascii="Cambria" w:hAnsi="Cambria"/>
          <w:b/>
          <w:lang w:val="en-US"/>
        </w:rPr>
        <w:t xml:space="preserve">Jay </w:t>
      </w:r>
      <w:r>
        <w:rPr>
          <w:rFonts w:ascii="Cambria" w:hAnsi="Cambria"/>
          <w:b/>
          <w:lang w:val="en-US"/>
        </w:rPr>
        <w:t>L.</w:t>
      </w:r>
      <w:r w:rsidRPr="00970370">
        <w:rPr>
          <w:rFonts w:ascii="Cambria" w:hAnsi="Cambria"/>
          <w:b/>
          <w:lang w:val="en-US"/>
        </w:rPr>
        <w:t xml:space="preserve"> Garfield</w:t>
      </w:r>
    </w:p>
    <w:p w14:paraId="132F3B69" w14:textId="704CBFCA" w:rsidR="00970370" w:rsidRPr="00970370" w:rsidRDefault="00970370" w:rsidP="00970370">
      <w:pPr>
        <w:jc w:val="center"/>
        <w:rPr>
          <w:rFonts w:ascii="Cambria" w:hAnsi="Cambria"/>
          <w:b/>
          <w:lang w:val="en-US"/>
        </w:rPr>
      </w:pPr>
      <w:r w:rsidRPr="00970370">
        <w:rPr>
          <w:rFonts w:ascii="Cambria" w:hAnsi="Cambria"/>
          <w:b/>
          <w:lang w:val="en-US"/>
        </w:rPr>
        <w:t>Smith College</w:t>
      </w:r>
    </w:p>
    <w:p w14:paraId="4B6695DA" w14:textId="11611FB1" w:rsidR="00970370" w:rsidRDefault="00970370" w:rsidP="00970370">
      <w:pPr>
        <w:jc w:val="center"/>
        <w:rPr>
          <w:rFonts w:ascii="Cambria" w:hAnsi="Cambria"/>
          <w:b/>
          <w:lang w:val="en-US"/>
        </w:rPr>
      </w:pPr>
      <w:r w:rsidRPr="00970370">
        <w:rPr>
          <w:rFonts w:ascii="Cambria" w:hAnsi="Cambria"/>
          <w:b/>
          <w:lang w:val="en-US"/>
        </w:rPr>
        <w:t>Harvard Divinity School</w:t>
      </w:r>
    </w:p>
    <w:p w14:paraId="560996C7" w14:textId="7683C198" w:rsidR="00B57B3C" w:rsidRDefault="00B57B3C" w:rsidP="00970370">
      <w:pPr>
        <w:jc w:val="center"/>
        <w:rPr>
          <w:rFonts w:ascii="Cambria" w:hAnsi="Cambria"/>
          <w:b/>
          <w:lang w:val="en-US"/>
        </w:rPr>
      </w:pPr>
      <w:r>
        <w:rPr>
          <w:rFonts w:ascii="Cambria" w:hAnsi="Cambria"/>
          <w:b/>
          <w:lang w:val="en-US"/>
        </w:rPr>
        <w:t>University of Melbourne</w:t>
      </w:r>
    </w:p>
    <w:p w14:paraId="37A6CF11" w14:textId="0F6F9D96" w:rsidR="00B57B3C" w:rsidRPr="00970370" w:rsidRDefault="00B57B3C" w:rsidP="00970370">
      <w:pPr>
        <w:jc w:val="center"/>
        <w:rPr>
          <w:rFonts w:ascii="Cambria" w:hAnsi="Cambria"/>
          <w:b/>
          <w:lang w:val="en-US"/>
        </w:rPr>
      </w:pPr>
      <w:r>
        <w:rPr>
          <w:rFonts w:ascii="Cambria" w:hAnsi="Cambria"/>
          <w:b/>
          <w:lang w:val="en-US"/>
        </w:rPr>
        <w:t>Central Institute of Higher Tibetan Studies</w:t>
      </w:r>
    </w:p>
    <w:p w14:paraId="2BAB2F53" w14:textId="4F385533" w:rsidR="00970370" w:rsidRDefault="00970370" w:rsidP="00970370">
      <w:pPr>
        <w:rPr>
          <w:rFonts w:ascii="Cambria" w:hAnsi="Cambria"/>
          <w:lang w:val="en-US"/>
        </w:rPr>
      </w:pPr>
    </w:p>
    <w:p w14:paraId="66468BA5" w14:textId="77777777" w:rsidR="00B70987" w:rsidRDefault="00B70987" w:rsidP="00B70987">
      <w:pPr>
        <w:ind w:left="720" w:firstLine="720"/>
        <w:jc w:val="both"/>
        <w:rPr>
          <w:rFonts w:ascii="Cambria" w:eastAsia="Times" w:hAnsi="Cambria" w:cs="Times New Roman"/>
        </w:rPr>
      </w:pPr>
      <w:r>
        <w:rPr>
          <w:rFonts w:ascii="Cambria" w:hAnsi="Cambria"/>
        </w:rPr>
        <w:t>The Buddha’s teaching of the Dharma</w:t>
      </w:r>
    </w:p>
    <w:p w14:paraId="3B6836BF" w14:textId="77777777" w:rsidR="00B70987" w:rsidRDefault="00B70987" w:rsidP="00B70987">
      <w:pPr>
        <w:ind w:left="1440"/>
        <w:jc w:val="both"/>
        <w:rPr>
          <w:rFonts w:ascii="Cambria" w:hAnsi="Cambria"/>
        </w:rPr>
      </w:pPr>
      <w:r>
        <w:rPr>
          <w:rFonts w:ascii="Cambria" w:hAnsi="Cambria"/>
        </w:rPr>
        <w:t>Is based on two truths:</w:t>
      </w:r>
    </w:p>
    <w:p w14:paraId="28091641" w14:textId="77777777" w:rsidR="00B70987" w:rsidRDefault="00B70987" w:rsidP="00B70987">
      <w:pPr>
        <w:ind w:left="1440"/>
        <w:jc w:val="both"/>
        <w:rPr>
          <w:rFonts w:ascii="Cambria" w:hAnsi="Cambria"/>
        </w:rPr>
      </w:pPr>
      <w:r>
        <w:rPr>
          <w:rFonts w:ascii="Cambria" w:hAnsi="Cambria"/>
        </w:rPr>
        <w:t>A truth of worldly convention</w:t>
      </w:r>
    </w:p>
    <w:p w14:paraId="7FA77F6B" w14:textId="77777777" w:rsidR="00B70987" w:rsidRDefault="00B70987" w:rsidP="00B70987">
      <w:pPr>
        <w:ind w:left="1440"/>
        <w:jc w:val="both"/>
        <w:rPr>
          <w:rFonts w:ascii="Cambria" w:hAnsi="Cambria"/>
        </w:rPr>
      </w:pPr>
      <w:r>
        <w:rPr>
          <w:rFonts w:ascii="Cambria" w:hAnsi="Cambria"/>
        </w:rPr>
        <w:t>And an ultimate truth.</w:t>
      </w:r>
    </w:p>
    <w:p w14:paraId="57D03AD5" w14:textId="77777777" w:rsidR="00B70987" w:rsidRDefault="00B70987" w:rsidP="00B70987">
      <w:pPr>
        <w:ind w:left="1440"/>
        <w:jc w:val="both"/>
        <w:rPr>
          <w:rFonts w:ascii="Cambria" w:hAnsi="Cambria"/>
        </w:rPr>
      </w:pPr>
    </w:p>
    <w:p w14:paraId="6A6DED18" w14:textId="77777777" w:rsidR="00B70987" w:rsidRDefault="00B70987" w:rsidP="00B70987">
      <w:pPr>
        <w:ind w:left="720" w:firstLine="720"/>
        <w:jc w:val="both"/>
        <w:rPr>
          <w:rFonts w:ascii="Cambria" w:hAnsi="Cambria"/>
        </w:rPr>
      </w:pPr>
      <w:r>
        <w:rPr>
          <w:rFonts w:ascii="Cambria" w:hAnsi="Cambria"/>
        </w:rPr>
        <w:t xml:space="preserve">Those who do not understand </w:t>
      </w:r>
    </w:p>
    <w:p w14:paraId="162DAB41" w14:textId="77777777" w:rsidR="00B70987" w:rsidRDefault="00B70987" w:rsidP="00B70987">
      <w:pPr>
        <w:ind w:left="1440"/>
        <w:jc w:val="both"/>
        <w:rPr>
          <w:rFonts w:ascii="Cambria" w:hAnsi="Cambria"/>
        </w:rPr>
      </w:pPr>
      <w:r>
        <w:rPr>
          <w:rFonts w:ascii="Cambria" w:hAnsi="Cambria"/>
        </w:rPr>
        <w:t>The distinction between these two truths</w:t>
      </w:r>
    </w:p>
    <w:p w14:paraId="710FA7EA" w14:textId="77777777" w:rsidR="00B70987" w:rsidRDefault="00B70987" w:rsidP="00B70987">
      <w:pPr>
        <w:ind w:left="1440"/>
        <w:jc w:val="both"/>
        <w:rPr>
          <w:rFonts w:ascii="Cambria" w:hAnsi="Cambria"/>
        </w:rPr>
      </w:pPr>
      <w:r>
        <w:rPr>
          <w:rFonts w:ascii="Cambria" w:hAnsi="Cambria"/>
        </w:rPr>
        <w:t>Do not understand</w:t>
      </w:r>
    </w:p>
    <w:p w14:paraId="00A9AAE8" w14:textId="77777777" w:rsidR="00B70987" w:rsidRDefault="00B70987" w:rsidP="00B70987">
      <w:pPr>
        <w:ind w:left="1440"/>
        <w:jc w:val="both"/>
        <w:rPr>
          <w:rFonts w:ascii="Cambria" w:hAnsi="Cambria"/>
        </w:rPr>
      </w:pPr>
      <w:r>
        <w:rPr>
          <w:rFonts w:ascii="Cambria" w:hAnsi="Cambria"/>
        </w:rPr>
        <w:t>The Buddha’s profound teaching.</w:t>
      </w:r>
    </w:p>
    <w:p w14:paraId="080E332B" w14:textId="77777777" w:rsidR="00B70987" w:rsidRDefault="00B70987" w:rsidP="00B70987">
      <w:pPr>
        <w:ind w:left="1440"/>
        <w:jc w:val="both"/>
        <w:rPr>
          <w:rFonts w:ascii="Cambria" w:hAnsi="Cambria"/>
        </w:rPr>
      </w:pPr>
    </w:p>
    <w:p w14:paraId="23CDA488" w14:textId="77777777" w:rsidR="00B70987" w:rsidRDefault="00B70987" w:rsidP="00B70987">
      <w:pPr>
        <w:ind w:left="720" w:firstLine="720"/>
        <w:jc w:val="both"/>
        <w:rPr>
          <w:rFonts w:ascii="Cambria" w:hAnsi="Cambria"/>
        </w:rPr>
      </w:pPr>
      <w:r>
        <w:rPr>
          <w:rFonts w:ascii="Cambria" w:hAnsi="Cambria"/>
        </w:rPr>
        <w:t>Without depending on the conventional truth,</w:t>
      </w:r>
    </w:p>
    <w:p w14:paraId="232DC552" w14:textId="77777777" w:rsidR="00B70987" w:rsidRDefault="00B70987" w:rsidP="00B70987">
      <w:pPr>
        <w:ind w:left="1440"/>
        <w:jc w:val="both"/>
        <w:rPr>
          <w:rFonts w:ascii="Cambria" w:hAnsi="Cambria"/>
        </w:rPr>
      </w:pPr>
      <w:r>
        <w:rPr>
          <w:rFonts w:ascii="Cambria" w:hAnsi="Cambria"/>
        </w:rPr>
        <w:t>The meaning of the ultimate cannot be taught.</w:t>
      </w:r>
    </w:p>
    <w:p w14:paraId="2DF796B2" w14:textId="77777777" w:rsidR="00B70987" w:rsidRDefault="00B70987" w:rsidP="00B70987">
      <w:pPr>
        <w:ind w:left="1440"/>
        <w:jc w:val="both"/>
        <w:rPr>
          <w:rFonts w:ascii="Cambria" w:hAnsi="Cambria"/>
        </w:rPr>
      </w:pPr>
      <w:r>
        <w:rPr>
          <w:rFonts w:ascii="Cambria" w:hAnsi="Cambria"/>
        </w:rPr>
        <w:t>Without understanding the meaning of the ultimate,</w:t>
      </w:r>
    </w:p>
    <w:p w14:paraId="0E5CF9D4" w14:textId="1E93A4C5" w:rsidR="00B70987" w:rsidRPr="00B70987" w:rsidRDefault="00B70987" w:rsidP="00B70987">
      <w:pPr>
        <w:ind w:left="1440"/>
        <w:jc w:val="both"/>
        <w:rPr>
          <w:rFonts w:ascii="Cambria" w:hAnsi="Cambria"/>
        </w:rPr>
      </w:pPr>
      <w:r>
        <w:rPr>
          <w:rFonts w:ascii="Cambria" w:hAnsi="Cambria"/>
        </w:rPr>
        <w:t xml:space="preserve">Nirvana is not achieved. (Nāgārjuna, </w:t>
      </w:r>
      <w:r>
        <w:rPr>
          <w:rFonts w:ascii="Cambria" w:hAnsi="Cambria"/>
          <w:i/>
        </w:rPr>
        <w:t xml:space="preserve">Mūlamadhyamakakārikā </w:t>
      </w:r>
      <w:r>
        <w:rPr>
          <w:rFonts w:ascii="Cambria" w:hAnsi="Cambria"/>
        </w:rPr>
        <w:t>24.8-10)</w:t>
      </w:r>
    </w:p>
    <w:p w14:paraId="3F296AC1" w14:textId="2AC2B846" w:rsidR="00970370" w:rsidRDefault="00970370" w:rsidP="00970370">
      <w:pPr>
        <w:rPr>
          <w:rFonts w:ascii="Cambria" w:hAnsi="Cambria"/>
          <w:lang w:val="en-US"/>
        </w:rPr>
      </w:pPr>
    </w:p>
    <w:p w14:paraId="0B24211C" w14:textId="77777777" w:rsidR="00B70987" w:rsidRDefault="00B70987" w:rsidP="00970370">
      <w:pPr>
        <w:rPr>
          <w:rFonts w:ascii="Cambria" w:hAnsi="Cambria"/>
          <w:lang w:val="en-US"/>
        </w:rPr>
      </w:pPr>
    </w:p>
    <w:p w14:paraId="400862F9" w14:textId="51241B86" w:rsidR="006F17A3" w:rsidRDefault="00970370" w:rsidP="006027D1">
      <w:pPr>
        <w:spacing w:after="180" w:line="360" w:lineRule="auto"/>
        <w:rPr>
          <w:rFonts w:ascii="Cambria" w:hAnsi="Cambria"/>
          <w:lang w:val="en-US"/>
        </w:rPr>
      </w:pPr>
      <w:r>
        <w:rPr>
          <w:rFonts w:ascii="Cambria" w:hAnsi="Cambria"/>
          <w:lang w:val="en-US"/>
        </w:rPr>
        <w:t>José Cabezón’s distinguished and protean career has taken him from Geluk epistemology and metaphysics to hermeneutics to sexuality, and finally back to Geluk epistemology.  The arc of his scholarship is vast, and every point on that arc has served to illuminate important issues not only in Buddhist Studies, but in Religious Studies</w:t>
      </w:r>
      <w:r w:rsidR="00CC70B0">
        <w:rPr>
          <w:rFonts w:ascii="Cambria" w:hAnsi="Cambria"/>
          <w:lang w:val="en-US"/>
        </w:rPr>
        <w:t xml:space="preserve"> and Philosophy</w:t>
      </w:r>
      <w:r>
        <w:rPr>
          <w:rFonts w:ascii="Cambria" w:hAnsi="Cambria"/>
          <w:lang w:val="en-US"/>
        </w:rPr>
        <w:t xml:space="preserve"> more broadly.  </w:t>
      </w:r>
      <w:r w:rsidR="00696ABF">
        <w:rPr>
          <w:rFonts w:ascii="Cambria" w:hAnsi="Cambria"/>
          <w:lang w:val="en-US"/>
        </w:rPr>
        <w:t xml:space="preserve">In this essay I engage with the issues that concern him in the bookends of his career: the magisterial translation of </w:t>
      </w:r>
      <w:proofErr w:type="spellStart"/>
      <w:r w:rsidR="00696ABF">
        <w:rPr>
          <w:rFonts w:ascii="Cambria" w:hAnsi="Cambria"/>
          <w:lang w:val="en-US"/>
        </w:rPr>
        <w:t>Khedrup-jé’s</w:t>
      </w:r>
      <w:proofErr w:type="spellEnd"/>
      <w:r w:rsidR="00696ABF">
        <w:rPr>
          <w:rFonts w:ascii="Cambria" w:hAnsi="Cambria"/>
          <w:lang w:val="en-US"/>
        </w:rPr>
        <w:t xml:space="preserve"> </w:t>
      </w:r>
      <w:r w:rsidR="00696ABF">
        <w:rPr>
          <w:rFonts w:ascii="Cambria" w:hAnsi="Cambria"/>
          <w:i/>
          <w:lang w:val="en-US"/>
        </w:rPr>
        <w:t>Great Digest</w:t>
      </w:r>
      <w:r w:rsidR="006F17A3">
        <w:rPr>
          <w:rFonts w:ascii="Cambria" w:hAnsi="Cambria"/>
          <w:lang w:val="en-US"/>
        </w:rPr>
        <w:t xml:space="preserve"> (Cabezón 1992)</w:t>
      </w:r>
      <w:r w:rsidR="00696ABF">
        <w:rPr>
          <w:rFonts w:ascii="Cambria" w:hAnsi="Cambria"/>
          <w:lang w:val="en-US"/>
        </w:rPr>
        <w:t xml:space="preserve">—which bids fair to be the first truly successful translation of a major Tibetan philosophical text—and his fine </w:t>
      </w:r>
      <w:r w:rsidR="00CC70B0">
        <w:rPr>
          <w:rFonts w:ascii="Cambria" w:hAnsi="Cambria"/>
          <w:lang w:val="en-US"/>
        </w:rPr>
        <w:t>study of</w:t>
      </w:r>
      <w:r w:rsidR="00696ABF">
        <w:rPr>
          <w:rFonts w:ascii="Cambria" w:hAnsi="Cambria"/>
          <w:lang w:val="en-US"/>
        </w:rPr>
        <w:t xml:space="preserve"> Panchen </w:t>
      </w:r>
      <w:proofErr w:type="spellStart"/>
      <w:r w:rsidR="00696ABF">
        <w:rPr>
          <w:rFonts w:ascii="Cambria" w:hAnsi="Cambria"/>
          <w:lang w:val="en-US"/>
        </w:rPr>
        <w:t>Losang</w:t>
      </w:r>
      <w:proofErr w:type="spellEnd"/>
      <w:r w:rsidR="00696ABF">
        <w:rPr>
          <w:rFonts w:ascii="Cambria" w:hAnsi="Cambria"/>
          <w:lang w:val="en-US"/>
        </w:rPr>
        <w:t xml:space="preserve"> Chökyi </w:t>
      </w:r>
      <w:proofErr w:type="spellStart"/>
      <w:r w:rsidR="00696ABF">
        <w:rPr>
          <w:rFonts w:ascii="Cambria" w:hAnsi="Cambria"/>
          <w:lang w:val="en-US"/>
        </w:rPr>
        <w:t>Gyatsen’s</w:t>
      </w:r>
      <w:proofErr w:type="spellEnd"/>
      <w:r w:rsidR="00696ABF">
        <w:rPr>
          <w:rFonts w:ascii="Cambria" w:hAnsi="Cambria"/>
          <w:lang w:val="en-US"/>
        </w:rPr>
        <w:t xml:space="preserve"> </w:t>
      </w:r>
      <w:r w:rsidR="00696ABF">
        <w:rPr>
          <w:rFonts w:ascii="Cambria" w:hAnsi="Cambria"/>
          <w:i/>
          <w:lang w:val="en-US"/>
        </w:rPr>
        <w:t>Lion’s Roar of Scripture and Reasoning</w:t>
      </w:r>
      <w:r w:rsidR="00696ABF">
        <w:rPr>
          <w:rFonts w:ascii="Cambria" w:hAnsi="Cambria"/>
          <w:lang w:val="en-US"/>
        </w:rPr>
        <w:t xml:space="preserve"> in the context of the Yakherds’ </w:t>
      </w:r>
      <w:r w:rsidR="00696ABF">
        <w:rPr>
          <w:rFonts w:ascii="Cambria" w:hAnsi="Cambria"/>
          <w:i/>
          <w:lang w:val="en-US"/>
        </w:rPr>
        <w:t xml:space="preserve">Knowing Illusion </w:t>
      </w:r>
      <w:r w:rsidR="006F17A3">
        <w:rPr>
          <w:rFonts w:ascii="Cambria" w:hAnsi="Cambria"/>
          <w:lang w:val="en-US"/>
        </w:rPr>
        <w:t>(2022)</w:t>
      </w:r>
      <w:r w:rsidR="00696ABF">
        <w:rPr>
          <w:rFonts w:ascii="Cambria" w:hAnsi="Cambria"/>
          <w:lang w:val="en-US"/>
        </w:rPr>
        <w:t xml:space="preserve">. </w:t>
      </w:r>
      <w:r w:rsidR="006F17A3">
        <w:rPr>
          <w:rFonts w:ascii="Cambria" w:hAnsi="Cambria"/>
          <w:lang w:val="en-US"/>
        </w:rPr>
        <w:t xml:space="preserve"> </w:t>
      </w:r>
    </w:p>
    <w:p w14:paraId="6D902DC2" w14:textId="1CCF1F27" w:rsidR="00970370" w:rsidRDefault="006F17A3" w:rsidP="006027D1">
      <w:pPr>
        <w:spacing w:after="180" w:line="360" w:lineRule="auto"/>
        <w:ind w:firstLine="720"/>
        <w:rPr>
          <w:rFonts w:ascii="Cambria" w:hAnsi="Cambria"/>
          <w:lang w:val="en-US"/>
        </w:rPr>
      </w:pPr>
      <w:r>
        <w:rPr>
          <w:rFonts w:ascii="Cambria" w:hAnsi="Cambria"/>
          <w:lang w:val="en-US"/>
        </w:rPr>
        <w:t xml:space="preserve">Those issues concern the possibility of knowledge in the context of massive illusion, and how we can make sense of the </w:t>
      </w:r>
      <w:r>
        <w:rPr>
          <w:rFonts w:ascii="Cambria" w:hAnsi="Cambria"/>
          <w:i/>
          <w:lang w:val="en-US"/>
        </w:rPr>
        <w:t xml:space="preserve">truth </w:t>
      </w:r>
      <w:r>
        <w:rPr>
          <w:rFonts w:ascii="Cambria" w:hAnsi="Cambria"/>
          <w:lang w:val="en-US"/>
        </w:rPr>
        <w:t xml:space="preserve">in conventional truth.  And answering those questions requires us to ask how to read Candrakīrti.  I will </w:t>
      </w:r>
      <w:r w:rsidR="00CC70B0">
        <w:rPr>
          <w:rFonts w:ascii="Cambria" w:hAnsi="Cambria"/>
          <w:lang w:val="en-US"/>
        </w:rPr>
        <w:t>defend José’s position</w:t>
      </w:r>
      <w:r>
        <w:rPr>
          <w:rFonts w:ascii="Cambria" w:hAnsi="Cambria"/>
          <w:lang w:val="en-US"/>
        </w:rPr>
        <w:t xml:space="preserve"> that Tsongkhapa and his followers get this right, and </w:t>
      </w:r>
      <w:r w:rsidR="00CC70B0">
        <w:rPr>
          <w:rFonts w:ascii="Cambria" w:hAnsi="Cambria"/>
          <w:lang w:val="en-US"/>
        </w:rPr>
        <w:t xml:space="preserve">I will argue </w:t>
      </w:r>
      <w:r>
        <w:rPr>
          <w:rFonts w:ascii="Cambria" w:hAnsi="Cambria"/>
          <w:lang w:val="en-US"/>
        </w:rPr>
        <w:t xml:space="preserve">that seeing how they do so </w:t>
      </w:r>
      <w:proofErr w:type="gramStart"/>
      <w:r>
        <w:rPr>
          <w:rFonts w:ascii="Cambria" w:hAnsi="Cambria"/>
          <w:lang w:val="en-US"/>
        </w:rPr>
        <w:lastRenderedPageBreak/>
        <w:t>illuminates</w:t>
      </w:r>
      <w:proofErr w:type="gramEnd"/>
      <w:r>
        <w:rPr>
          <w:rFonts w:ascii="Cambria" w:hAnsi="Cambria"/>
          <w:lang w:val="en-US"/>
        </w:rPr>
        <w:t xml:space="preserve"> the concept of knowledge itself, showing how a good Mādhyamika should think about epistemology.</w:t>
      </w:r>
      <w:r w:rsidR="00F359BA">
        <w:rPr>
          <w:rFonts w:ascii="Cambria" w:hAnsi="Cambria"/>
          <w:lang w:val="en-US"/>
        </w:rPr>
        <w:t xml:space="preserve">  This essay emerges from the Yakherds’ project, and so owes much to José himself.</w:t>
      </w:r>
    </w:p>
    <w:p w14:paraId="0DCABBA2" w14:textId="30731A30" w:rsidR="00C8119E" w:rsidRDefault="00C8119E" w:rsidP="006027D1">
      <w:pPr>
        <w:spacing w:after="180" w:line="360" w:lineRule="auto"/>
        <w:ind w:firstLine="720"/>
        <w:rPr>
          <w:rFonts w:ascii="Cambria" w:hAnsi="Cambria"/>
          <w:lang w:val="en-US"/>
        </w:rPr>
      </w:pPr>
      <w:r>
        <w:rPr>
          <w:rFonts w:ascii="Cambria" w:hAnsi="Cambria"/>
          <w:lang w:val="en-US"/>
        </w:rPr>
        <w:t xml:space="preserve">Otto </w:t>
      </w:r>
      <w:proofErr w:type="spellStart"/>
      <w:r>
        <w:rPr>
          <w:rFonts w:ascii="Cambria" w:hAnsi="Cambria"/>
          <w:lang w:val="en-US"/>
        </w:rPr>
        <w:t>Neurath</w:t>
      </w:r>
      <w:proofErr w:type="spellEnd"/>
      <w:r>
        <w:rPr>
          <w:rFonts w:ascii="Cambria" w:hAnsi="Cambria"/>
          <w:lang w:val="en-US"/>
        </w:rPr>
        <w:t xml:space="preserve"> famously reworked the classic</w:t>
      </w:r>
      <w:r w:rsidR="006F17A3">
        <w:rPr>
          <w:rFonts w:ascii="Cambria" w:hAnsi="Cambria"/>
          <w:lang w:val="en-US"/>
        </w:rPr>
        <w:t xml:space="preserve"> Ship</w:t>
      </w:r>
      <w:r>
        <w:rPr>
          <w:rFonts w:ascii="Cambria" w:hAnsi="Cambria"/>
          <w:lang w:val="en-US"/>
        </w:rPr>
        <w:t xml:space="preserve"> of Theseus puzzle about identity into a metaphor for epistemology.  In (1921/1973), </w:t>
      </w:r>
      <w:proofErr w:type="spellStart"/>
      <w:r>
        <w:rPr>
          <w:rFonts w:ascii="Cambria" w:hAnsi="Cambria"/>
          <w:lang w:val="en-US"/>
        </w:rPr>
        <w:t>Neurath</w:t>
      </w:r>
      <w:proofErr w:type="spellEnd"/>
      <w:r>
        <w:rPr>
          <w:rFonts w:ascii="Cambria" w:hAnsi="Cambria"/>
          <w:lang w:val="en-US"/>
        </w:rPr>
        <w:t xml:space="preserve"> writes: </w:t>
      </w:r>
    </w:p>
    <w:p w14:paraId="67637370" w14:textId="5C5B5E76" w:rsidR="00C8119E" w:rsidRPr="00C8119E" w:rsidRDefault="00C8119E" w:rsidP="00C8119E">
      <w:pPr>
        <w:ind w:left="720" w:right="662"/>
        <w:rPr>
          <w:rFonts w:ascii="Times New Roman" w:eastAsia="Times New Roman" w:hAnsi="Times New Roman" w:cs="Times New Roman"/>
          <w:szCs w:val="24"/>
          <w:lang w:eastAsia="en-GB" w:bidi="he-IL"/>
        </w:rPr>
      </w:pPr>
      <w:r w:rsidRPr="00C8119E">
        <w:rPr>
          <w:rFonts w:ascii="Times New Roman" w:eastAsia="Times New Roman" w:hAnsi="Times New Roman" w:cs="Times New Roman"/>
          <w:szCs w:val="24"/>
          <w:lang w:eastAsia="en-GB" w:bidi="he-IL"/>
        </w:rPr>
        <w:t>We are like sailors who on the open sea must reconstruct their ship but are never able to start afresh from the bottom. Where a beam is taken away a new one must at once be put there, and for this the rest of the ship is used as support. In this way, by using the old beams and driftwood the ship can be shaped entirely anew, but only by gradual reconstruction.</w:t>
      </w:r>
      <w:r>
        <w:rPr>
          <w:rFonts w:ascii="Times New Roman" w:eastAsia="Times New Roman" w:hAnsi="Times New Roman" w:cs="Times New Roman"/>
          <w:szCs w:val="24"/>
          <w:lang w:eastAsia="en-GB" w:bidi="he-IL"/>
        </w:rPr>
        <w:t xml:space="preserve"> (199)</w:t>
      </w:r>
    </w:p>
    <w:p w14:paraId="2C1EAA8E" w14:textId="3843CB2E" w:rsidR="006F17A3" w:rsidRDefault="006F17A3" w:rsidP="006F17A3">
      <w:pPr>
        <w:rPr>
          <w:rFonts w:ascii="Cambria" w:hAnsi="Cambria"/>
        </w:rPr>
      </w:pPr>
    </w:p>
    <w:p w14:paraId="1BD67649" w14:textId="56036F76" w:rsidR="00C8119E" w:rsidRPr="00C8119E" w:rsidRDefault="00C8119E" w:rsidP="006027D1">
      <w:pPr>
        <w:spacing w:after="180" w:line="360" w:lineRule="auto"/>
        <w:rPr>
          <w:rFonts w:ascii="Cambria" w:hAnsi="Cambria"/>
        </w:rPr>
      </w:pPr>
      <w:r>
        <w:rPr>
          <w:rFonts w:ascii="Cambria" w:hAnsi="Cambria"/>
        </w:rPr>
        <w:t>The point is simple and profound</w:t>
      </w:r>
      <w:r w:rsidR="00F359BA">
        <w:rPr>
          <w:rFonts w:ascii="Cambria" w:hAnsi="Cambria"/>
        </w:rPr>
        <w:t xml:space="preserve">: Knowledge does not require foundations, nor does it require finality.  The structure of knowledge is always a work in progress; the relation between </w:t>
      </w:r>
      <w:r w:rsidR="0090784B">
        <w:rPr>
          <w:rFonts w:ascii="Cambria" w:hAnsi="Cambria"/>
        </w:rPr>
        <w:t xml:space="preserve">the things we know and </w:t>
      </w:r>
      <w:r w:rsidR="00CC70B0">
        <w:rPr>
          <w:rFonts w:ascii="Cambria" w:hAnsi="Cambria"/>
        </w:rPr>
        <w:t>the means by which</w:t>
      </w:r>
      <w:r w:rsidR="0090784B">
        <w:rPr>
          <w:rFonts w:ascii="Cambria" w:hAnsi="Cambria"/>
        </w:rPr>
        <w:t xml:space="preserve"> we know </w:t>
      </w:r>
      <w:r w:rsidR="00CC70B0">
        <w:rPr>
          <w:rFonts w:ascii="Cambria" w:hAnsi="Cambria"/>
        </w:rPr>
        <w:t xml:space="preserve">them </w:t>
      </w:r>
      <w:r w:rsidR="0090784B">
        <w:rPr>
          <w:rFonts w:ascii="Cambria" w:hAnsi="Cambria"/>
        </w:rPr>
        <w:t xml:space="preserve">are interdependent; and progress requires taking what we have as provisional and using it to advance our knowledge. While we will always detect errors in our beliefs and defects in our epistemic practices, we cannot scrap them wholesale to start again: to do so would be to drown in a bottomless sea of ignorance with no way of </w:t>
      </w:r>
      <w:r w:rsidR="0090784B" w:rsidRPr="006027D1">
        <w:rPr>
          <w:rFonts w:ascii="Cambria" w:hAnsi="Cambria"/>
          <w:lang w:val="en-US"/>
        </w:rPr>
        <w:t>rising</w:t>
      </w:r>
      <w:r w:rsidR="0090784B">
        <w:rPr>
          <w:rFonts w:ascii="Cambria" w:hAnsi="Cambria"/>
        </w:rPr>
        <w:t xml:space="preserve"> to the surface. Instead, we should recognize that our fallible practices are both sufficient to keep us afloat and to enable us to improve upon them as we move forward.  As we will see, this was precisely the moral that Tsongkhapa and the Geluk tradition took from Candrakīrti.</w:t>
      </w:r>
      <w:r w:rsidR="00CC70B0">
        <w:rPr>
          <w:rFonts w:ascii="Cambria" w:hAnsi="Cambria"/>
        </w:rPr>
        <w:t xml:space="preserve">  It represents their solution to the problem of how the path to awakening is possible.</w:t>
      </w:r>
    </w:p>
    <w:p w14:paraId="0DA2F818" w14:textId="4BB5DF38" w:rsidR="00E95E25" w:rsidRPr="00F95A94" w:rsidRDefault="00E95E25" w:rsidP="00F95A94">
      <w:pPr>
        <w:spacing w:before="60"/>
        <w:rPr>
          <w:rFonts w:ascii="Cambria" w:hAnsi="Cambria"/>
          <w:b/>
          <w:lang w:val="en-US"/>
        </w:rPr>
      </w:pPr>
      <w:r w:rsidRPr="00F95A94">
        <w:rPr>
          <w:rFonts w:ascii="Cambria" w:hAnsi="Cambria"/>
          <w:b/>
          <w:lang w:val="en-US"/>
        </w:rPr>
        <w:t>1.  The Tsongkhapa</w:t>
      </w:r>
      <w:r w:rsidR="00EA2203">
        <w:rPr>
          <w:rFonts w:ascii="Cambria" w:hAnsi="Cambria"/>
          <w:b/>
          <w:lang w:val="en-US"/>
        </w:rPr>
        <w:t>-</w:t>
      </w:r>
      <w:r w:rsidRPr="00F95A94">
        <w:rPr>
          <w:rFonts w:ascii="Cambria" w:hAnsi="Cambria"/>
          <w:b/>
          <w:lang w:val="en-US"/>
        </w:rPr>
        <w:t>Taktsang Debate</w:t>
      </w:r>
    </w:p>
    <w:p w14:paraId="40146C23" w14:textId="126B13EC" w:rsidR="00E95E25" w:rsidRPr="00D265E4" w:rsidRDefault="001725B4" w:rsidP="001725B4">
      <w:pPr>
        <w:spacing w:after="180" w:line="360" w:lineRule="auto"/>
        <w:rPr>
          <w:rFonts w:ascii="Cambria" w:hAnsi="Cambria"/>
          <w:lang w:val="en-US"/>
        </w:rPr>
      </w:pPr>
      <w:r>
        <w:rPr>
          <w:rFonts w:ascii="Cambria" w:hAnsi="Cambria"/>
          <w:lang w:val="en-US"/>
        </w:rPr>
        <w:t xml:space="preserve">The debate initiated by Taktsang’s </w:t>
      </w:r>
      <w:r>
        <w:rPr>
          <w:rFonts w:ascii="Cambria" w:hAnsi="Cambria"/>
          <w:i/>
          <w:lang w:val="en-US"/>
        </w:rPr>
        <w:t>18 Great Contradictions</w:t>
      </w:r>
      <w:r>
        <w:rPr>
          <w:rFonts w:ascii="Cambria" w:hAnsi="Cambria"/>
          <w:lang w:val="en-US"/>
        </w:rPr>
        <w:t xml:space="preserve"> section in chapter five of his </w:t>
      </w:r>
      <w:r>
        <w:rPr>
          <w:rFonts w:ascii="Cambria" w:hAnsi="Cambria"/>
          <w:i/>
          <w:lang w:val="en-US"/>
        </w:rPr>
        <w:t xml:space="preserve">Freedom from Extremes Accomplished </w:t>
      </w:r>
      <w:r w:rsidRPr="001725B4">
        <w:rPr>
          <w:rFonts w:ascii="Cambria" w:hAnsi="Cambria"/>
          <w:lang w:val="en-US"/>
        </w:rPr>
        <w:t>through</w:t>
      </w:r>
      <w:r>
        <w:rPr>
          <w:rFonts w:ascii="Cambria" w:hAnsi="Cambria"/>
          <w:i/>
          <w:lang w:val="en-US"/>
        </w:rPr>
        <w:t xml:space="preserve"> Comprehensive Knowledge of Philosophy</w:t>
      </w:r>
      <w:r>
        <w:rPr>
          <w:rFonts w:ascii="Cambria" w:hAnsi="Cambria"/>
          <w:lang w:val="en-US"/>
        </w:rPr>
        <w:t xml:space="preserve"> (</w:t>
      </w:r>
      <w:r w:rsidR="000D72C6">
        <w:rPr>
          <w:rFonts w:ascii="Cambria" w:hAnsi="Cambria"/>
          <w:lang w:val="en-US"/>
        </w:rPr>
        <w:t>Yakherds 2021</w:t>
      </w:r>
      <w:r>
        <w:rPr>
          <w:rFonts w:ascii="Cambria" w:hAnsi="Cambria"/>
          <w:lang w:val="en-US"/>
        </w:rPr>
        <w:t>, v. II pp. 8-148) is extensive and complex. (</w:t>
      </w:r>
      <w:r w:rsidR="000D72C6">
        <w:rPr>
          <w:rFonts w:ascii="Cambria" w:hAnsi="Cambria"/>
          <w:lang w:val="en-US"/>
        </w:rPr>
        <w:t>Yakherds 2021</w:t>
      </w:r>
      <w:r>
        <w:rPr>
          <w:rFonts w:ascii="Cambria" w:hAnsi="Cambria"/>
          <w:lang w:val="en-US"/>
        </w:rPr>
        <w:t xml:space="preserve"> v. I) Here I focus only one </w:t>
      </w:r>
      <w:r w:rsidR="000E42F8">
        <w:rPr>
          <w:rFonts w:ascii="Cambria" w:hAnsi="Cambria"/>
          <w:lang w:val="en-US"/>
        </w:rPr>
        <w:t xml:space="preserve">aspect: the question regarding whether one can make sense of epistemic warrant in the absence of epistemic foundations. </w:t>
      </w:r>
      <w:r w:rsidR="005714E9">
        <w:rPr>
          <w:rFonts w:ascii="Cambria" w:hAnsi="Cambria"/>
          <w:lang w:val="en-US"/>
        </w:rPr>
        <w:t xml:space="preserve">Whatever their other differences, Tsongkhapa and Taktsang agree that Prāsaṅgika Madhyamaka is inconsistent with foundationalism in epistemology.  Tsongkhapa, </w:t>
      </w:r>
      <w:proofErr w:type="spellStart"/>
      <w:r w:rsidR="005714E9">
        <w:rPr>
          <w:rFonts w:ascii="Cambria" w:hAnsi="Cambria"/>
          <w:lang w:val="en-US"/>
        </w:rPr>
        <w:t>Khedrup</w:t>
      </w:r>
      <w:proofErr w:type="spellEnd"/>
      <w:r w:rsidR="005714E9">
        <w:rPr>
          <w:rFonts w:ascii="Cambria" w:hAnsi="Cambria"/>
          <w:lang w:val="en-US"/>
        </w:rPr>
        <w:t>, Panchen Chökyi Gyaltsen, and other Geluk epistemologists interpret Nāgārjuna and Candrakīrti as defending a</w:t>
      </w:r>
      <w:r w:rsidR="00D265E4">
        <w:rPr>
          <w:rFonts w:ascii="Cambria" w:hAnsi="Cambria"/>
          <w:lang w:val="en-US"/>
        </w:rPr>
        <w:t xml:space="preserve"> coherentist epistemology, and as vindicating both knowledge of the conventional truth and knowledge </w:t>
      </w:r>
      <w:r w:rsidR="00D265E4">
        <w:rPr>
          <w:rFonts w:ascii="Cambria" w:hAnsi="Cambria"/>
          <w:lang w:val="en-US"/>
        </w:rPr>
        <w:lastRenderedPageBreak/>
        <w:t xml:space="preserve">of ultimate truth, albeit </w:t>
      </w:r>
      <w:proofErr w:type="gramStart"/>
      <w:r w:rsidR="00D265E4">
        <w:rPr>
          <w:rFonts w:ascii="Cambria" w:hAnsi="Cambria"/>
          <w:lang w:val="en-US"/>
        </w:rPr>
        <w:t>through the use of</w:t>
      </w:r>
      <w:proofErr w:type="gramEnd"/>
      <w:r w:rsidR="00D265E4">
        <w:rPr>
          <w:rFonts w:ascii="Cambria" w:hAnsi="Cambria"/>
          <w:lang w:val="en-US"/>
        </w:rPr>
        <w:t xml:space="preserve"> different </w:t>
      </w:r>
      <w:r w:rsidR="00D265E4">
        <w:rPr>
          <w:rFonts w:ascii="Cambria" w:hAnsi="Cambria"/>
          <w:i/>
          <w:lang w:val="en-US"/>
        </w:rPr>
        <w:t>pramāṇas.</w:t>
      </w:r>
      <w:r w:rsidR="00D265E4">
        <w:rPr>
          <w:rFonts w:ascii="Cambria" w:hAnsi="Cambria"/>
          <w:lang w:val="en-US"/>
        </w:rPr>
        <w:t xml:space="preserve"> Taktsang, followed by the 13</w:t>
      </w:r>
      <w:r w:rsidR="00D265E4" w:rsidRPr="00D265E4">
        <w:rPr>
          <w:rFonts w:ascii="Cambria" w:hAnsi="Cambria"/>
          <w:vertAlign w:val="superscript"/>
          <w:lang w:val="en-US"/>
        </w:rPr>
        <w:t>th</w:t>
      </w:r>
      <w:r w:rsidR="00D265E4">
        <w:rPr>
          <w:rFonts w:ascii="Cambria" w:hAnsi="Cambria"/>
          <w:lang w:val="en-US"/>
        </w:rPr>
        <w:t xml:space="preserve"> and 14</w:t>
      </w:r>
      <w:r w:rsidR="00D265E4" w:rsidRPr="00D265E4">
        <w:rPr>
          <w:rFonts w:ascii="Cambria" w:hAnsi="Cambria"/>
          <w:vertAlign w:val="superscript"/>
          <w:lang w:val="en-US"/>
        </w:rPr>
        <w:t>th</w:t>
      </w:r>
      <w:r w:rsidR="00D265E4">
        <w:rPr>
          <w:rFonts w:ascii="Cambria" w:hAnsi="Cambria"/>
          <w:lang w:val="en-US"/>
        </w:rPr>
        <w:t xml:space="preserve"> Karmapas, argues that </w:t>
      </w:r>
      <w:r w:rsidR="00CC70B0">
        <w:rPr>
          <w:rFonts w:ascii="Cambria" w:hAnsi="Cambria"/>
          <w:lang w:val="en-US"/>
        </w:rPr>
        <w:t>this</w:t>
      </w:r>
      <w:r w:rsidR="00D265E4">
        <w:rPr>
          <w:rFonts w:ascii="Cambria" w:hAnsi="Cambria"/>
          <w:lang w:val="en-US"/>
        </w:rPr>
        <w:t xml:space="preserve"> makes no sense: knowledge, on their view, requires foundations.  Without foundations, they argue, knowledge is impossible, and so</w:t>
      </w:r>
      <w:r w:rsidR="00CC70B0">
        <w:rPr>
          <w:rFonts w:ascii="Cambria" w:hAnsi="Cambria"/>
          <w:lang w:val="en-US"/>
        </w:rPr>
        <w:t>, they conclude,</w:t>
      </w:r>
      <w:r w:rsidR="00D265E4">
        <w:rPr>
          <w:rFonts w:ascii="Cambria" w:hAnsi="Cambria"/>
          <w:lang w:val="en-US"/>
        </w:rPr>
        <w:t xml:space="preserve"> </w:t>
      </w:r>
      <w:r w:rsidR="00D265E4">
        <w:rPr>
          <w:rFonts w:ascii="Cambria" w:hAnsi="Cambria"/>
          <w:i/>
          <w:lang w:val="en-US"/>
        </w:rPr>
        <w:t xml:space="preserve">pramāṇas </w:t>
      </w:r>
      <w:r w:rsidR="00D265E4">
        <w:rPr>
          <w:rFonts w:ascii="Cambria" w:hAnsi="Cambria"/>
          <w:lang w:val="en-US"/>
        </w:rPr>
        <w:t xml:space="preserve">make no sense in a Prāsaṅgika framework.  </w:t>
      </w:r>
    </w:p>
    <w:p w14:paraId="2C438813" w14:textId="25E6FF3D" w:rsidR="006027D1" w:rsidRPr="00795CD7" w:rsidRDefault="00D265E4" w:rsidP="004D3947">
      <w:pPr>
        <w:spacing w:after="180" w:line="360" w:lineRule="auto"/>
        <w:ind w:firstLine="720"/>
        <w:rPr>
          <w:rFonts w:ascii="Cambria" w:hAnsi="Cambria"/>
          <w:lang w:val="en-US"/>
        </w:rPr>
      </w:pPr>
      <w:r>
        <w:rPr>
          <w:rFonts w:ascii="Cambria" w:hAnsi="Cambria"/>
          <w:lang w:val="en-US"/>
        </w:rPr>
        <w:t xml:space="preserve">This debate </w:t>
      </w:r>
      <w:r w:rsidR="001F3235">
        <w:rPr>
          <w:rFonts w:ascii="Cambria" w:hAnsi="Cambria"/>
          <w:lang w:val="en-US"/>
        </w:rPr>
        <w:t>raged in Tibet from the 15</w:t>
      </w:r>
      <w:r w:rsidR="001F3235" w:rsidRPr="001F3235">
        <w:rPr>
          <w:rFonts w:ascii="Cambria" w:hAnsi="Cambria"/>
          <w:vertAlign w:val="superscript"/>
          <w:lang w:val="en-US"/>
        </w:rPr>
        <w:t>th</w:t>
      </w:r>
      <w:r w:rsidR="001F3235">
        <w:rPr>
          <w:rFonts w:ascii="Cambria" w:hAnsi="Cambria"/>
          <w:lang w:val="en-US"/>
        </w:rPr>
        <w:t xml:space="preserve"> through the 18</w:t>
      </w:r>
      <w:r w:rsidR="001F3235" w:rsidRPr="001F3235">
        <w:rPr>
          <w:rFonts w:ascii="Cambria" w:hAnsi="Cambria"/>
          <w:vertAlign w:val="superscript"/>
          <w:lang w:val="en-US"/>
        </w:rPr>
        <w:t>th</w:t>
      </w:r>
      <w:r w:rsidR="001F3235">
        <w:rPr>
          <w:rFonts w:ascii="Cambria" w:hAnsi="Cambria"/>
          <w:lang w:val="en-US"/>
        </w:rPr>
        <w:t xml:space="preserve"> centuries, and it continues today.  It is rooted in a fundamental conundrum that lies at the base of Buddhist philosophy.  </w:t>
      </w:r>
      <w:r w:rsidR="007A2575">
        <w:rPr>
          <w:rFonts w:ascii="Cambria" w:hAnsi="Cambria"/>
          <w:lang w:val="en-US"/>
        </w:rPr>
        <w:t>The goal of Buddhist practice—particularly in the Mahāyāna—is awakening or buddhahood. That is a state of perfect knowledge of all phenomena</w:t>
      </w:r>
      <w:r w:rsidR="009668CB">
        <w:rPr>
          <w:rFonts w:ascii="Cambria" w:hAnsi="Cambria"/>
          <w:lang w:val="en-US"/>
        </w:rPr>
        <w:t>.</w:t>
      </w:r>
      <w:r w:rsidR="004D3947">
        <w:rPr>
          <w:rStyle w:val="FootnoteReference"/>
          <w:rFonts w:ascii="Cambria" w:hAnsi="Cambria"/>
          <w:lang w:val="en-US"/>
        </w:rPr>
        <w:footnoteReference w:id="1"/>
      </w:r>
      <w:r w:rsidR="009668CB">
        <w:rPr>
          <w:rFonts w:ascii="Cambria" w:hAnsi="Cambria"/>
          <w:lang w:val="en-US"/>
        </w:rPr>
        <w:t xml:space="preserve">  </w:t>
      </w:r>
      <w:r w:rsidR="00E81820">
        <w:rPr>
          <w:rFonts w:ascii="Cambria" w:hAnsi="Cambria"/>
          <w:lang w:val="en-US"/>
        </w:rPr>
        <w:t xml:space="preserve">And the only tool we </w:t>
      </w:r>
      <w:proofErr w:type="gramStart"/>
      <w:r w:rsidR="00E81820">
        <w:rPr>
          <w:rFonts w:ascii="Cambria" w:hAnsi="Cambria"/>
          <w:lang w:val="en-US"/>
        </w:rPr>
        <w:t>have to</w:t>
      </w:r>
      <w:proofErr w:type="gramEnd"/>
      <w:r w:rsidR="00E81820">
        <w:rPr>
          <w:rFonts w:ascii="Cambria" w:hAnsi="Cambria"/>
          <w:lang w:val="en-US"/>
        </w:rPr>
        <w:t xml:space="preserve"> accomplish that goal is our own mind. But that mind is imperfect, subject to delusion and to illusion.  How can the operation of an imperfect</w:t>
      </w:r>
      <w:r w:rsidR="008A63DC">
        <w:rPr>
          <w:rFonts w:ascii="Cambria" w:hAnsi="Cambria"/>
          <w:lang w:val="en-US"/>
        </w:rPr>
        <w:t xml:space="preserve">, deluded mind lead to a state of perfection and omniscience?  The bootstrapping problem appears insurmountable, </w:t>
      </w:r>
      <w:proofErr w:type="gramStart"/>
      <w:r w:rsidR="008A63DC">
        <w:rPr>
          <w:rFonts w:ascii="Cambria" w:hAnsi="Cambria"/>
          <w:lang w:val="en-US"/>
        </w:rPr>
        <w:t>and,</w:t>
      </w:r>
      <w:proofErr w:type="gramEnd"/>
      <w:r w:rsidR="008A63DC">
        <w:rPr>
          <w:rFonts w:ascii="Cambria" w:hAnsi="Cambria"/>
          <w:lang w:val="en-US"/>
        </w:rPr>
        <w:t xml:space="preserve"> as is well-known, </w:t>
      </w:r>
      <w:r w:rsidR="004C1FE6">
        <w:rPr>
          <w:rFonts w:ascii="Cambria" w:hAnsi="Cambria"/>
          <w:lang w:val="en-US"/>
        </w:rPr>
        <w:t>thi</w:t>
      </w:r>
      <w:r w:rsidR="008A63DC">
        <w:rPr>
          <w:rFonts w:ascii="Cambria" w:hAnsi="Cambria"/>
          <w:lang w:val="en-US"/>
        </w:rPr>
        <w:t>s</w:t>
      </w:r>
      <w:r w:rsidR="004C1FE6">
        <w:rPr>
          <w:rFonts w:ascii="Cambria" w:hAnsi="Cambria"/>
          <w:lang w:val="en-US"/>
        </w:rPr>
        <w:t xml:space="preserve"> problem is</w:t>
      </w:r>
      <w:r w:rsidR="008A63DC">
        <w:rPr>
          <w:rFonts w:ascii="Cambria" w:hAnsi="Cambria"/>
          <w:lang w:val="en-US"/>
        </w:rPr>
        <w:t xml:space="preserve"> addressed in various ways in</w:t>
      </w:r>
      <w:r w:rsidR="00CC70B0">
        <w:rPr>
          <w:rFonts w:ascii="Cambria" w:hAnsi="Cambria"/>
          <w:lang w:val="en-US"/>
        </w:rPr>
        <w:t xml:space="preserve"> different</w:t>
      </w:r>
      <w:r w:rsidR="008A63DC">
        <w:rPr>
          <w:rFonts w:ascii="Cambria" w:hAnsi="Cambria"/>
          <w:lang w:val="en-US"/>
        </w:rPr>
        <w:t xml:space="preserve"> Buddhist traditions.  As we will see, Geluk epistemologists are convinced that we can gradually improve our conceptual resources to enable them to warrant a nonconceptual understanding, first grasping ultimate truth conceptually (</w:t>
      </w:r>
      <w:r w:rsidR="008A63DC" w:rsidRPr="008A63DC">
        <w:rPr>
          <w:rFonts w:ascii="Cambria" w:hAnsi="Cambria"/>
          <w:i/>
          <w:lang w:val="en-US"/>
        </w:rPr>
        <w:t xml:space="preserve">rnam </w:t>
      </w:r>
      <w:proofErr w:type="spellStart"/>
      <w:r w:rsidR="008A63DC" w:rsidRPr="008A63DC">
        <w:rPr>
          <w:rFonts w:ascii="Cambria" w:hAnsi="Cambria"/>
          <w:i/>
          <w:lang w:val="en-US"/>
        </w:rPr>
        <w:t>drang</w:t>
      </w:r>
      <w:proofErr w:type="spellEnd"/>
      <w:r w:rsidR="008A63DC" w:rsidRPr="008A63DC">
        <w:rPr>
          <w:rFonts w:ascii="Cambria" w:hAnsi="Cambria"/>
          <w:i/>
          <w:lang w:val="en-US"/>
        </w:rPr>
        <w:t xml:space="preserve"> don dam</w:t>
      </w:r>
      <w:r w:rsidR="008A63DC">
        <w:rPr>
          <w:rFonts w:ascii="Cambria" w:hAnsi="Cambria"/>
          <w:lang w:val="en-US"/>
        </w:rPr>
        <w:t>) and then apprehending it non conceptually (</w:t>
      </w:r>
      <w:r w:rsidR="008A63DC">
        <w:rPr>
          <w:rFonts w:ascii="Cambria" w:hAnsi="Cambria"/>
          <w:i/>
          <w:lang w:val="en-US"/>
        </w:rPr>
        <w:t xml:space="preserve">rnam </w:t>
      </w:r>
      <w:proofErr w:type="spellStart"/>
      <w:r w:rsidR="008A63DC">
        <w:rPr>
          <w:rFonts w:ascii="Cambria" w:hAnsi="Cambria"/>
          <w:i/>
          <w:lang w:val="en-US"/>
        </w:rPr>
        <w:t>drang</w:t>
      </w:r>
      <w:proofErr w:type="spellEnd"/>
      <w:r w:rsidR="008A63DC">
        <w:rPr>
          <w:rFonts w:ascii="Cambria" w:hAnsi="Cambria"/>
          <w:i/>
          <w:lang w:val="en-US"/>
        </w:rPr>
        <w:t xml:space="preserve"> ma yin pa’i don dam</w:t>
      </w:r>
      <w:r w:rsidR="00795CD7">
        <w:rPr>
          <w:rFonts w:ascii="Cambria" w:hAnsi="Cambria"/>
          <w:lang w:val="en-US"/>
        </w:rPr>
        <w:t>). Taktsang argues that this makes no sense.</w:t>
      </w:r>
    </w:p>
    <w:p w14:paraId="4262B4BD" w14:textId="29DAA0DA" w:rsidR="001F3235" w:rsidRDefault="001F3235" w:rsidP="00F95A94">
      <w:pPr>
        <w:spacing w:after="180" w:line="360" w:lineRule="auto"/>
        <w:ind w:firstLine="720"/>
        <w:rPr>
          <w:rFonts w:ascii="Cambria" w:hAnsi="Cambria"/>
          <w:lang w:val="en-US"/>
        </w:rPr>
      </w:pPr>
      <w:r>
        <w:rPr>
          <w:rFonts w:ascii="Cambria" w:hAnsi="Cambria"/>
          <w:lang w:val="en-US"/>
        </w:rPr>
        <w:t xml:space="preserve">The debate also raises </w:t>
      </w:r>
      <w:proofErr w:type="gramStart"/>
      <w:r>
        <w:rPr>
          <w:rFonts w:ascii="Cambria" w:hAnsi="Cambria"/>
          <w:lang w:val="en-US"/>
        </w:rPr>
        <w:t>a number of</w:t>
      </w:r>
      <w:proofErr w:type="gramEnd"/>
      <w:r>
        <w:rPr>
          <w:rFonts w:ascii="Cambria" w:hAnsi="Cambria"/>
          <w:lang w:val="en-US"/>
        </w:rPr>
        <w:t xml:space="preserve"> ancillary issues that are extremely important in Tibetan epistemological thought. </w:t>
      </w:r>
      <w:r w:rsidR="00795CD7">
        <w:rPr>
          <w:rFonts w:ascii="Cambria" w:hAnsi="Cambria"/>
          <w:lang w:val="en-US"/>
        </w:rPr>
        <w:t xml:space="preserve">One concerns the </w:t>
      </w:r>
      <w:r w:rsidR="00736E8A">
        <w:rPr>
          <w:rFonts w:ascii="Cambria" w:hAnsi="Cambria"/>
          <w:lang w:val="en-US"/>
        </w:rPr>
        <w:t xml:space="preserve">relation between the conceptually grasped ultimate and the non-conceptually grasped ultimate: are they the same object grasped through two different kinds of subjectivity, or are they distinct objects?  (Garfield 2020) </w:t>
      </w:r>
      <w:r w:rsidR="006455F6">
        <w:rPr>
          <w:rFonts w:ascii="Cambria" w:hAnsi="Cambria"/>
          <w:lang w:val="en-US"/>
        </w:rPr>
        <w:t xml:space="preserve">On the first option, we must explain how deceptive conceptualization can deliver ultimate truth; on the second, we must explain why the conceptual stage is either necessary or sufficient for the nonconceptual achievement. Another concerns the scope of a Buddha’s knowledge: does a Buddha know conventional phenomena or not?  If so, then since </w:t>
      </w:r>
      <w:r w:rsidR="00F74F95">
        <w:rPr>
          <w:rFonts w:ascii="Cambria" w:hAnsi="Cambria"/>
          <w:lang w:val="en-US"/>
        </w:rPr>
        <w:t>conventional phenomena are deceptive</w:t>
      </w:r>
      <w:r w:rsidR="00CC70B0">
        <w:rPr>
          <w:rFonts w:ascii="Cambria" w:hAnsi="Cambria"/>
          <w:lang w:val="en-US"/>
        </w:rPr>
        <w:t>,</w:t>
      </w:r>
      <w:r w:rsidR="00F74F95">
        <w:rPr>
          <w:rFonts w:ascii="Cambria" w:hAnsi="Cambria"/>
          <w:lang w:val="en-US"/>
        </w:rPr>
        <w:t xml:space="preserve"> a Buddha would behold deceptive phenomena; if </w:t>
      </w:r>
      <w:r w:rsidR="00F74F95">
        <w:rPr>
          <w:rFonts w:ascii="Cambria" w:hAnsi="Cambria"/>
          <w:lang w:val="en-US"/>
        </w:rPr>
        <w:lastRenderedPageBreak/>
        <w:t xml:space="preserve">not, a Buddha would not know anything about the world or sentient beings.  </w:t>
      </w:r>
      <w:proofErr w:type="gramStart"/>
      <w:r w:rsidR="00F74F95">
        <w:rPr>
          <w:rFonts w:ascii="Cambria" w:hAnsi="Cambria"/>
          <w:lang w:val="en-US"/>
        </w:rPr>
        <w:t>So</w:t>
      </w:r>
      <w:proofErr w:type="gramEnd"/>
      <w:r w:rsidR="00F74F95">
        <w:rPr>
          <w:rFonts w:ascii="Cambria" w:hAnsi="Cambria"/>
          <w:lang w:val="en-US"/>
        </w:rPr>
        <w:t xml:space="preserve"> there is a lot of soteriological import to this debate.  </w:t>
      </w:r>
    </w:p>
    <w:p w14:paraId="4CE5D8C6" w14:textId="77E23394" w:rsidR="00975062" w:rsidRDefault="00DB2442" w:rsidP="00F95A94">
      <w:pPr>
        <w:spacing w:after="180" w:line="360" w:lineRule="auto"/>
        <w:ind w:firstLine="720"/>
        <w:rPr>
          <w:rFonts w:ascii="Cambria" w:hAnsi="Cambria"/>
          <w:lang w:val="en-US"/>
        </w:rPr>
      </w:pPr>
      <w:r>
        <w:rPr>
          <w:rFonts w:ascii="Cambria" w:hAnsi="Cambria"/>
          <w:lang w:val="en-US"/>
        </w:rPr>
        <w:t>But first a word about w</w:t>
      </w:r>
      <w:r w:rsidR="00F74F95">
        <w:rPr>
          <w:rFonts w:ascii="Cambria" w:hAnsi="Cambria"/>
          <w:lang w:val="en-US"/>
        </w:rPr>
        <w:t>arrant and foundations.</w:t>
      </w:r>
      <w:r>
        <w:rPr>
          <w:rFonts w:ascii="Cambria" w:hAnsi="Cambria"/>
          <w:lang w:val="en-US"/>
        </w:rPr>
        <w:t xml:space="preserve">  We can get a good feel for the core of this debate by reflecting on what we mean by </w:t>
      </w:r>
      <w:r>
        <w:rPr>
          <w:rFonts w:ascii="Cambria" w:hAnsi="Cambria"/>
          <w:i/>
          <w:lang w:val="en-US"/>
        </w:rPr>
        <w:t xml:space="preserve">knowledge. </w:t>
      </w:r>
      <w:r>
        <w:rPr>
          <w:rFonts w:ascii="Cambria" w:hAnsi="Cambria"/>
          <w:lang w:val="en-US"/>
        </w:rPr>
        <w:t xml:space="preserve">At a first, pretty good pass, knowledge is justified true belief. Notoriously, that </w:t>
      </w:r>
      <w:r w:rsidR="0083087D">
        <w:rPr>
          <w:rFonts w:ascii="Cambria" w:hAnsi="Cambria"/>
          <w:lang w:val="en-US"/>
        </w:rPr>
        <w:t xml:space="preserve">definition is inadequate due to Gettier examples, and there is much controversy regarding how to patch it.  But it is a good approximation, and it is at least a necessary condition on knowledge. The crucial term here is </w:t>
      </w:r>
      <w:r w:rsidR="0083087D">
        <w:rPr>
          <w:rFonts w:ascii="Cambria" w:hAnsi="Cambria"/>
          <w:i/>
          <w:lang w:val="en-US"/>
        </w:rPr>
        <w:t xml:space="preserve">justified. </w:t>
      </w:r>
      <w:r w:rsidR="00DF676A">
        <w:rPr>
          <w:rFonts w:ascii="Cambria" w:hAnsi="Cambria"/>
          <w:lang w:val="en-US"/>
        </w:rPr>
        <w:t xml:space="preserve">And this holds just as much for our </w:t>
      </w:r>
      <w:r w:rsidR="00DF676A">
        <w:rPr>
          <w:rFonts w:ascii="Cambria" w:hAnsi="Cambria"/>
          <w:i/>
          <w:lang w:val="en-US"/>
        </w:rPr>
        <w:t xml:space="preserve">pramāṇas </w:t>
      </w:r>
      <w:r w:rsidR="00DF676A">
        <w:rPr>
          <w:rFonts w:ascii="Cambria" w:hAnsi="Cambria"/>
          <w:lang w:val="en-US"/>
        </w:rPr>
        <w:t xml:space="preserve">as it does for the objects of our knowledge. </w:t>
      </w:r>
      <w:r w:rsidR="0083087D">
        <w:rPr>
          <w:rFonts w:ascii="Cambria" w:hAnsi="Cambria"/>
          <w:lang w:val="en-US"/>
        </w:rPr>
        <w:t>To know something demands that we have good reason for believing it</w:t>
      </w:r>
      <w:r w:rsidR="00DF676A">
        <w:rPr>
          <w:rFonts w:ascii="Cambria" w:hAnsi="Cambria"/>
          <w:lang w:val="en-US"/>
        </w:rPr>
        <w:t xml:space="preserve">; to use an </w:t>
      </w:r>
      <w:proofErr w:type="gramStart"/>
      <w:r w:rsidR="00DF676A">
        <w:rPr>
          <w:rFonts w:ascii="Cambria" w:hAnsi="Cambria"/>
          <w:lang w:val="en-US"/>
        </w:rPr>
        <w:t>epistemic instrument demands</w:t>
      </w:r>
      <w:proofErr w:type="gramEnd"/>
      <w:r w:rsidR="00DF676A">
        <w:rPr>
          <w:rFonts w:ascii="Cambria" w:hAnsi="Cambria"/>
          <w:lang w:val="en-US"/>
        </w:rPr>
        <w:t xml:space="preserve"> that we have good reason for confidence in it</w:t>
      </w:r>
      <w:r w:rsidR="0083087D">
        <w:rPr>
          <w:rFonts w:ascii="Cambria" w:hAnsi="Cambria"/>
          <w:lang w:val="en-US"/>
        </w:rPr>
        <w:t>.  And since that reason is what warrants, or justifies, our belief</w:t>
      </w:r>
      <w:r w:rsidR="00DF676A">
        <w:rPr>
          <w:rFonts w:ascii="Cambria" w:hAnsi="Cambria"/>
          <w:lang w:val="en-US"/>
        </w:rPr>
        <w:t xml:space="preserve"> or our practice</w:t>
      </w:r>
      <w:r w:rsidR="0083087D">
        <w:rPr>
          <w:rFonts w:ascii="Cambria" w:hAnsi="Cambria"/>
          <w:lang w:val="en-US"/>
        </w:rPr>
        <w:t xml:space="preserve">, that reason should be known as well, and therefore justified. </w:t>
      </w:r>
      <w:r w:rsidR="00975062">
        <w:rPr>
          <w:rFonts w:ascii="Cambria" w:hAnsi="Cambria"/>
          <w:lang w:val="en-US"/>
        </w:rPr>
        <w:t xml:space="preserve">We seem to have a regress on our hands. Foundationalists attempt to cut the regress off by establishing a self-justifying set of basic knowledge on which the rest of the edifice rests, and from which all other knowledge can be derived.  Foundationalism is a recurrent philosophical temptation because it seems that without foundations, there can be no knowledge, because there could be no ultimate justification of any beliefs. </w:t>
      </w:r>
    </w:p>
    <w:p w14:paraId="7965D66F" w14:textId="24D832F5" w:rsidR="00F74F95" w:rsidRDefault="00975062" w:rsidP="00F95A94">
      <w:pPr>
        <w:spacing w:after="180" w:line="360" w:lineRule="auto"/>
        <w:ind w:firstLine="720"/>
        <w:rPr>
          <w:rFonts w:ascii="Cambria" w:hAnsi="Cambria"/>
          <w:iCs/>
          <w:lang w:val="en-US"/>
        </w:rPr>
      </w:pPr>
      <w:r>
        <w:rPr>
          <w:rFonts w:ascii="Cambria" w:hAnsi="Cambria"/>
          <w:lang w:val="en-US"/>
        </w:rPr>
        <w:t xml:space="preserve">There are many versions of foundationalism, but they are </w:t>
      </w:r>
      <w:r w:rsidR="003F6F68">
        <w:rPr>
          <w:rFonts w:ascii="Cambria" w:hAnsi="Cambria"/>
          <w:lang w:val="en-US"/>
        </w:rPr>
        <w:t xml:space="preserve">all subject to some form of skeptical critique.  The problem in a nutshell is that the very considerations that drive us towards foundationalism in the first place seem to undermine the foundations they demand. For the foundations are only epistemically secure if they are justified. No foundational statement can be justified by anything else on pain of reintroducing the regress. </w:t>
      </w:r>
      <w:r w:rsidR="00046488">
        <w:rPr>
          <w:rFonts w:ascii="Cambria" w:hAnsi="Cambria"/>
          <w:lang w:val="en-US"/>
        </w:rPr>
        <w:t xml:space="preserve">But if the foundations require justification in the first place, they cannot justify themselves.  </w:t>
      </w:r>
      <w:proofErr w:type="gramStart"/>
      <w:r w:rsidR="00046488">
        <w:rPr>
          <w:rFonts w:ascii="Cambria" w:hAnsi="Cambria"/>
          <w:lang w:val="en-US"/>
        </w:rPr>
        <w:t>So</w:t>
      </w:r>
      <w:proofErr w:type="gramEnd"/>
      <w:r w:rsidR="00046488">
        <w:rPr>
          <w:rFonts w:ascii="Cambria" w:hAnsi="Cambria"/>
          <w:lang w:val="en-US"/>
        </w:rPr>
        <w:t xml:space="preserve"> they are unjustified, and the problem we were meant to solve is reintroduced. In the West, this is Sextus Empiricus’ </w:t>
      </w:r>
      <w:r w:rsidR="00046488">
        <w:rPr>
          <w:rFonts w:ascii="Cambria" w:hAnsi="Cambria"/>
          <w:i/>
          <w:iCs/>
          <w:lang w:val="en-US"/>
        </w:rPr>
        <w:t xml:space="preserve">problem of the criterion. </w:t>
      </w:r>
      <w:r w:rsidR="00046488">
        <w:rPr>
          <w:rFonts w:ascii="Cambria" w:hAnsi="Cambria"/>
          <w:iCs/>
          <w:lang w:val="en-US"/>
        </w:rPr>
        <w:t xml:space="preserve">In </w:t>
      </w:r>
      <w:r w:rsidR="002E7CD5">
        <w:rPr>
          <w:rFonts w:ascii="Cambria" w:hAnsi="Cambria"/>
          <w:iCs/>
          <w:lang w:val="en-US"/>
        </w:rPr>
        <w:t xml:space="preserve">Buddhist </w:t>
      </w:r>
      <w:r w:rsidR="00046488">
        <w:rPr>
          <w:rFonts w:ascii="Cambria" w:hAnsi="Cambria"/>
          <w:iCs/>
          <w:lang w:val="en-US"/>
        </w:rPr>
        <w:t xml:space="preserve">India, it is the point of Nāgārjuna’s conclusion in </w:t>
      </w:r>
      <w:r w:rsidR="00046488">
        <w:rPr>
          <w:rFonts w:ascii="Cambria" w:hAnsi="Cambria"/>
          <w:i/>
          <w:iCs/>
          <w:lang w:val="en-US"/>
        </w:rPr>
        <w:t xml:space="preserve">Vigrahavyāvartanī </w:t>
      </w:r>
      <w:r w:rsidR="00046488">
        <w:rPr>
          <w:rFonts w:ascii="Cambria" w:hAnsi="Cambria"/>
          <w:iCs/>
          <w:lang w:val="en-US"/>
        </w:rPr>
        <w:t xml:space="preserve">that neither </w:t>
      </w:r>
      <w:r w:rsidR="00046488" w:rsidRPr="00046488">
        <w:rPr>
          <w:rFonts w:ascii="Cambria" w:hAnsi="Cambria"/>
          <w:i/>
          <w:iCs/>
          <w:lang w:val="en-US"/>
        </w:rPr>
        <w:t>pramāṇas</w:t>
      </w:r>
      <w:r w:rsidR="00046488">
        <w:rPr>
          <w:rFonts w:ascii="Cambria" w:hAnsi="Cambria"/>
          <w:iCs/>
          <w:lang w:val="en-US"/>
        </w:rPr>
        <w:t xml:space="preserve"> nor </w:t>
      </w:r>
      <w:r w:rsidR="00046488" w:rsidRPr="00046488">
        <w:rPr>
          <w:rFonts w:ascii="Cambria" w:hAnsi="Cambria"/>
          <w:i/>
          <w:iCs/>
          <w:lang w:val="en-US"/>
        </w:rPr>
        <w:t>prameyas</w:t>
      </w:r>
      <w:r w:rsidR="00046488">
        <w:rPr>
          <w:rFonts w:ascii="Cambria" w:hAnsi="Cambria"/>
          <w:iCs/>
          <w:lang w:val="en-US"/>
        </w:rPr>
        <w:t xml:space="preserve"> can be taken as independently justificatory.</w:t>
      </w:r>
    </w:p>
    <w:p w14:paraId="709B38F5" w14:textId="44556EFC" w:rsidR="002E7CD5" w:rsidRDefault="00DF676A" w:rsidP="00F95A94">
      <w:pPr>
        <w:spacing w:after="180" w:line="360" w:lineRule="auto"/>
        <w:ind w:firstLine="720"/>
        <w:rPr>
          <w:rFonts w:ascii="Cambria" w:hAnsi="Cambria"/>
          <w:iCs/>
          <w:lang w:val="en-US"/>
        </w:rPr>
      </w:pPr>
      <w:r>
        <w:rPr>
          <w:rFonts w:ascii="Cambria" w:hAnsi="Cambria"/>
          <w:iCs/>
          <w:lang w:val="en-US"/>
        </w:rPr>
        <w:t xml:space="preserve">In </w:t>
      </w:r>
      <w:r>
        <w:rPr>
          <w:rFonts w:ascii="Cambria" w:hAnsi="Cambria"/>
          <w:i/>
          <w:iCs/>
          <w:lang w:val="en-US"/>
        </w:rPr>
        <w:t xml:space="preserve">Vigrahavyāvartanī, </w:t>
      </w:r>
      <w:r w:rsidR="00C16DBB">
        <w:rPr>
          <w:rFonts w:ascii="Cambria" w:hAnsi="Cambria"/>
          <w:iCs/>
          <w:lang w:val="en-US"/>
        </w:rPr>
        <w:t>Nāgārjuna</w:t>
      </w:r>
      <w:r w:rsidR="002C4F48">
        <w:rPr>
          <w:rFonts w:ascii="Cambria" w:hAnsi="Cambria"/>
          <w:iCs/>
          <w:lang w:val="en-US"/>
        </w:rPr>
        <w:t xml:space="preserve"> does not </w:t>
      </w:r>
      <w:r w:rsidR="002C4F48">
        <w:rPr>
          <w:rFonts w:ascii="Cambria" w:hAnsi="Cambria"/>
          <w:i/>
          <w:iCs/>
          <w:lang w:val="en-US"/>
        </w:rPr>
        <w:t xml:space="preserve">deny </w:t>
      </w:r>
      <w:r w:rsidR="002C4F48">
        <w:rPr>
          <w:rFonts w:ascii="Cambria" w:hAnsi="Cambria"/>
          <w:iCs/>
          <w:lang w:val="en-US"/>
        </w:rPr>
        <w:t xml:space="preserve">that we can justify our claims; he only denies that they can be grounded in foundations.  When he notes that </w:t>
      </w:r>
      <w:r w:rsidR="002C4F48">
        <w:rPr>
          <w:rFonts w:ascii="Cambria" w:hAnsi="Cambria"/>
          <w:i/>
          <w:iCs/>
          <w:lang w:val="en-US"/>
        </w:rPr>
        <w:t xml:space="preserve">pramāṇas </w:t>
      </w:r>
      <w:r w:rsidR="002C4F48">
        <w:rPr>
          <w:rFonts w:ascii="Cambria" w:hAnsi="Cambria"/>
          <w:iCs/>
          <w:lang w:val="en-US"/>
        </w:rPr>
        <w:lastRenderedPageBreak/>
        <w:t xml:space="preserve">depend on </w:t>
      </w:r>
      <w:r w:rsidR="002C4F48">
        <w:rPr>
          <w:rFonts w:ascii="Cambria" w:hAnsi="Cambria"/>
          <w:i/>
          <w:iCs/>
          <w:lang w:val="en-US"/>
        </w:rPr>
        <w:t xml:space="preserve">prameyas </w:t>
      </w:r>
      <w:r w:rsidR="002C4F48">
        <w:rPr>
          <w:rFonts w:ascii="Cambria" w:hAnsi="Cambria"/>
          <w:iCs/>
          <w:lang w:val="en-US"/>
        </w:rPr>
        <w:t xml:space="preserve">and that </w:t>
      </w:r>
      <w:r w:rsidR="002C4F48">
        <w:rPr>
          <w:rFonts w:ascii="Cambria" w:hAnsi="Cambria"/>
          <w:i/>
          <w:iCs/>
          <w:lang w:val="en-US"/>
        </w:rPr>
        <w:t xml:space="preserve">prameyas </w:t>
      </w:r>
      <w:r w:rsidR="002C4F48">
        <w:rPr>
          <w:rFonts w:ascii="Cambria" w:hAnsi="Cambria"/>
          <w:iCs/>
          <w:lang w:val="en-US"/>
        </w:rPr>
        <w:t xml:space="preserve">depend on </w:t>
      </w:r>
      <w:r w:rsidR="002C4F48">
        <w:rPr>
          <w:rFonts w:ascii="Cambria" w:hAnsi="Cambria"/>
          <w:i/>
          <w:iCs/>
          <w:lang w:val="en-US"/>
        </w:rPr>
        <w:t xml:space="preserve">pramāṇas, </w:t>
      </w:r>
      <w:r w:rsidR="002C4F48">
        <w:rPr>
          <w:rFonts w:ascii="Cambria" w:hAnsi="Cambria"/>
          <w:iCs/>
          <w:lang w:val="en-US"/>
        </w:rPr>
        <w:t xml:space="preserve">he makes the coherentist point that </w:t>
      </w:r>
      <w:r w:rsidR="00727FD9">
        <w:rPr>
          <w:rFonts w:ascii="Cambria" w:hAnsi="Cambria"/>
          <w:iCs/>
          <w:lang w:val="en-US"/>
        </w:rPr>
        <w:t xml:space="preserve">our epistemic practices and epistemic objects are interdependent. </w:t>
      </w:r>
      <w:r w:rsidR="00F31A48">
        <w:rPr>
          <w:rFonts w:ascii="Cambria" w:hAnsi="Cambria"/>
          <w:iCs/>
          <w:lang w:val="en-US"/>
        </w:rPr>
        <w:t xml:space="preserve">I know that my epistemic instruments are successful because they deliver reliable epistemic objects; I know that the objects I perceive (or </w:t>
      </w:r>
      <w:proofErr w:type="gramStart"/>
      <w:r w:rsidR="00F31A48">
        <w:rPr>
          <w:rFonts w:ascii="Cambria" w:hAnsi="Cambria"/>
          <w:iCs/>
          <w:lang w:val="en-US"/>
        </w:rPr>
        <w:t>infer, or</w:t>
      </w:r>
      <w:proofErr w:type="gramEnd"/>
      <w:r w:rsidR="00F31A48">
        <w:rPr>
          <w:rFonts w:ascii="Cambria" w:hAnsi="Cambria"/>
          <w:iCs/>
          <w:lang w:val="en-US"/>
        </w:rPr>
        <w:t xml:space="preserve"> am told about…) are reliable because they are delivered by trustworthy epistemic instruments. How do I know my eyes are good? Because they see the right letters on the optometrist’s chart. How do I know that those are the right letters? Because the optometrist tells me they are? How do I know that the tree outside my window is there? Because I know that my eyes are good.  And so on.  This is not a guarantee of infallibility, of course, only of reliability.  </w:t>
      </w:r>
      <w:r>
        <w:rPr>
          <w:rFonts w:ascii="Cambria" w:hAnsi="Cambria"/>
          <w:iCs/>
          <w:lang w:val="en-US"/>
        </w:rPr>
        <w:t xml:space="preserve">But using reliable methods and relying on the information they deliver allows us both to detect our errors, and to build on our successes, in a virtuous </w:t>
      </w:r>
      <w:proofErr w:type="spellStart"/>
      <w:r>
        <w:rPr>
          <w:rFonts w:ascii="Cambria" w:hAnsi="Cambria"/>
          <w:iCs/>
          <w:lang w:val="en-US"/>
        </w:rPr>
        <w:t>Peirceian</w:t>
      </w:r>
      <w:proofErr w:type="spellEnd"/>
      <w:r>
        <w:rPr>
          <w:rFonts w:ascii="Cambria" w:hAnsi="Cambria"/>
          <w:iCs/>
          <w:lang w:val="en-US"/>
        </w:rPr>
        <w:t xml:space="preserve"> epistemic spiral, and </w:t>
      </w:r>
      <w:r w:rsidR="00F31A48">
        <w:rPr>
          <w:rFonts w:ascii="Cambria" w:hAnsi="Cambria"/>
          <w:iCs/>
          <w:lang w:val="en-US"/>
        </w:rPr>
        <w:t xml:space="preserve">in the ordinary world, that is enough.  </w:t>
      </w:r>
    </w:p>
    <w:p w14:paraId="34541BA9" w14:textId="37E0712D" w:rsidR="00F31A48" w:rsidRPr="00F31A48" w:rsidRDefault="00F31A48" w:rsidP="00F95A94">
      <w:pPr>
        <w:spacing w:after="180" w:line="360" w:lineRule="auto"/>
        <w:ind w:firstLine="720"/>
        <w:rPr>
          <w:rFonts w:ascii="Cambria" w:hAnsi="Cambria"/>
          <w:lang w:val="en-US"/>
        </w:rPr>
      </w:pPr>
      <w:r>
        <w:rPr>
          <w:rFonts w:ascii="Cambria" w:hAnsi="Cambria"/>
          <w:iCs/>
          <w:lang w:val="en-US"/>
        </w:rPr>
        <w:t xml:space="preserve">But as Nāgārjuna also emphasizes in </w:t>
      </w:r>
      <w:r w:rsidR="00116209">
        <w:rPr>
          <w:rFonts w:ascii="Cambria" w:hAnsi="Cambria"/>
          <w:i/>
          <w:lang w:val="en-US"/>
        </w:rPr>
        <w:t xml:space="preserve">Mūlamadhyamakakārikā, </w:t>
      </w:r>
      <w:r w:rsidR="00116209">
        <w:rPr>
          <w:rFonts w:ascii="Cambria" w:hAnsi="Cambria"/>
          <w:lang w:val="en-US"/>
        </w:rPr>
        <w:t>this</w:t>
      </w:r>
      <w:r>
        <w:rPr>
          <w:rFonts w:ascii="Cambria" w:hAnsi="Cambria"/>
          <w:lang w:val="en-US"/>
        </w:rPr>
        <w:t xml:space="preserve"> does not mean that our senses, cognitive capacities, and the objects they deliver are </w:t>
      </w:r>
      <w:r>
        <w:rPr>
          <w:rFonts w:ascii="Cambria" w:hAnsi="Cambria"/>
          <w:i/>
          <w:lang w:val="en-US"/>
        </w:rPr>
        <w:t xml:space="preserve">nondeceptive. </w:t>
      </w:r>
      <w:r w:rsidR="00116209">
        <w:rPr>
          <w:rFonts w:ascii="Cambria" w:hAnsi="Cambria"/>
          <w:lang w:val="en-US"/>
        </w:rPr>
        <w:t>All compounded phenomena are deceptive: they exist in one way but appear in another</w:t>
      </w:r>
      <w:r w:rsidR="00DF676A">
        <w:rPr>
          <w:rFonts w:ascii="Cambria" w:hAnsi="Cambria"/>
          <w:lang w:val="en-US"/>
        </w:rPr>
        <w:t xml:space="preserve"> (13.1)</w:t>
      </w:r>
      <w:r w:rsidR="00116209">
        <w:rPr>
          <w:rFonts w:ascii="Cambria" w:hAnsi="Cambria"/>
          <w:lang w:val="en-US"/>
        </w:rPr>
        <w:t xml:space="preserve">. </w:t>
      </w:r>
      <w:proofErr w:type="gramStart"/>
      <w:r w:rsidR="00116209">
        <w:rPr>
          <w:rFonts w:ascii="Cambria" w:hAnsi="Cambria"/>
          <w:lang w:val="en-US"/>
        </w:rPr>
        <w:t>In particular, they</w:t>
      </w:r>
      <w:proofErr w:type="gramEnd"/>
      <w:r w:rsidR="00116209">
        <w:rPr>
          <w:rFonts w:ascii="Cambria" w:hAnsi="Cambria"/>
          <w:lang w:val="en-US"/>
        </w:rPr>
        <w:t xml:space="preserve"> exist as dependently originated, conventionally real objects while appearing to beings such as us as independent, intrinsically real phenomena.    </w:t>
      </w:r>
      <w:r w:rsidR="00665434">
        <w:rPr>
          <w:rFonts w:ascii="Cambria" w:hAnsi="Cambria"/>
          <w:lang w:val="en-US"/>
        </w:rPr>
        <w:t xml:space="preserve">But the fact that they are deceptive in one respect does not mean that they cannot be known—that they are not nondeceptive—in another.  This point will figure in Tsongkhapa’s and </w:t>
      </w:r>
      <w:proofErr w:type="spellStart"/>
      <w:r w:rsidR="00665434">
        <w:rPr>
          <w:rFonts w:ascii="Cambria" w:hAnsi="Cambria"/>
          <w:lang w:val="en-US"/>
        </w:rPr>
        <w:t>Khedrup-jé’s</w:t>
      </w:r>
      <w:proofErr w:type="spellEnd"/>
      <w:r w:rsidR="00665434">
        <w:rPr>
          <w:rFonts w:ascii="Cambria" w:hAnsi="Cambria"/>
          <w:lang w:val="en-US"/>
        </w:rPr>
        <w:t xml:space="preserve"> understanding of conventional epistemic warrant.</w:t>
      </w:r>
    </w:p>
    <w:p w14:paraId="06EC42F7" w14:textId="345F264B" w:rsidR="00C16DBB" w:rsidRPr="00BD0771" w:rsidRDefault="00C16DBB" w:rsidP="00F95A94">
      <w:pPr>
        <w:spacing w:after="180" w:line="360" w:lineRule="auto"/>
        <w:ind w:firstLine="720"/>
        <w:rPr>
          <w:rFonts w:ascii="Cambria" w:hAnsi="Cambria"/>
          <w:iCs/>
          <w:lang w:val="en-US"/>
        </w:rPr>
      </w:pPr>
      <w:r>
        <w:rPr>
          <w:rFonts w:ascii="Cambria" w:hAnsi="Cambria"/>
          <w:iCs/>
          <w:lang w:val="en-US"/>
        </w:rPr>
        <w:t>Candrakīrti</w:t>
      </w:r>
      <w:r w:rsidR="00185FD9">
        <w:rPr>
          <w:rFonts w:ascii="Cambria" w:hAnsi="Cambria"/>
          <w:iCs/>
          <w:lang w:val="en-US"/>
        </w:rPr>
        <w:t xml:space="preserve"> </w:t>
      </w:r>
      <w:r w:rsidR="00665434">
        <w:rPr>
          <w:rFonts w:ascii="Cambria" w:hAnsi="Cambria"/>
          <w:iCs/>
          <w:lang w:val="en-US"/>
        </w:rPr>
        <w:t xml:space="preserve">reaffirms </w:t>
      </w:r>
      <w:r w:rsidR="00185FD9">
        <w:rPr>
          <w:rFonts w:ascii="Cambria" w:hAnsi="Cambria"/>
          <w:iCs/>
          <w:lang w:val="en-US"/>
        </w:rPr>
        <w:t>Nāgārjuna’s distinction between the two truths, preserving the importance of each</w:t>
      </w:r>
      <w:r w:rsidR="009D66A0">
        <w:rPr>
          <w:rFonts w:ascii="Cambria" w:hAnsi="Cambria"/>
          <w:iCs/>
          <w:lang w:val="en-US"/>
        </w:rPr>
        <w:t>. He also affirms Nāgārjuna’s</w:t>
      </w:r>
      <w:r w:rsidR="00185FD9">
        <w:rPr>
          <w:rFonts w:ascii="Cambria" w:hAnsi="Cambria"/>
          <w:iCs/>
          <w:lang w:val="en-US"/>
        </w:rPr>
        <w:t xml:space="preserve"> commitment to the possibility of knowledge of conventional truth.  </w:t>
      </w:r>
      <w:r w:rsidR="00883A4B">
        <w:rPr>
          <w:rFonts w:ascii="Cambria" w:hAnsi="Cambria"/>
          <w:iCs/>
          <w:lang w:val="en-US"/>
        </w:rPr>
        <w:t xml:space="preserve">In </w:t>
      </w:r>
      <w:r w:rsidR="00BD0771">
        <w:rPr>
          <w:rFonts w:ascii="Cambria" w:hAnsi="Cambria"/>
          <w:i/>
          <w:iCs/>
          <w:lang w:val="en-US"/>
        </w:rPr>
        <w:t xml:space="preserve">Madhyamakāvatāra, </w:t>
      </w:r>
      <w:r w:rsidR="00BD0771">
        <w:rPr>
          <w:rFonts w:ascii="Cambria" w:hAnsi="Cambria"/>
          <w:iCs/>
          <w:lang w:val="en-US"/>
        </w:rPr>
        <w:t xml:space="preserve">Candrakīrti affirms the reality of both truths, as two natures that all objects have: while acknowledging that conventional truth is deceptive, he affirms it as a genuine reality and that nothing in the Prāsaṅgika system undermines conventional truth or practices. </w:t>
      </w:r>
      <w:r w:rsidR="009D66A0">
        <w:rPr>
          <w:rFonts w:ascii="Cambria" w:hAnsi="Cambria"/>
          <w:iCs/>
          <w:lang w:val="en-US"/>
        </w:rPr>
        <w:t>(6.23)</w:t>
      </w:r>
      <w:r w:rsidR="00BD0771">
        <w:rPr>
          <w:rFonts w:ascii="Cambria" w:hAnsi="Cambria"/>
          <w:iCs/>
          <w:lang w:val="en-US"/>
        </w:rPr>
        <w:t xml:space="preserve"> And in </w:t>
      </w:r>
      <w:r w:rsidR="00BD0771">
        <w:rPr>
          <w:rFonts w:ascii="Cambria" w:hAnsi="Cambria"/>
          <w:i/>
          <w:iCs/>
          <w:lang w:val="en-US"/>
        </w:rPr>
        <w:t xml:space="preserve">Prasannapadā, </w:t>
      </w:r>
      <w:r w:rsidR="00BD0771">
        <w:rPr>
          <w:rFonts w:ascii="Cambria" w:hAnsi="Cambria"/>
          <w:iCs/>
          <w:lang w:val="en-US"/>
        </w:rPr>
        <w:t xml:space="preserve">he affirms that in that conventional domain, </w:t>
      </w:r>
      <w:proofErr w:type="gramStart"/>
      <w:r w:rsidR="00BD0771">
        <w:rPr>
          <w:rFonts w:ascii="Cambria" w:hAnsi="Cambria"/>
          <w:iCs/>
          <w:lang w:val="en-US"/>
        </w:rPr>
        <w:t>all of</w:t>
      </w:r>
      <w:proofErr w:type="gramEnd"/>
      <w:r w:rsidR="00BD0771">
        <w:rPr>
          <w:rFonts w:ascii="Cambria" w:hAnsi="Cambria"/>
          <w:iCs/>
          <w:lang w:val="en-US"/>
        </w:rPr>
        <w:t xml:space="preserve"> the ordinary epistemic instruments we use are appropriate, including perception, inference, testimony, and analogy, and not closing this list.</w:t>
      </w:r>
      <w:r w:rsidR="009D66A0">
        <w:rPr>
          <w:rFonts w:ascii="Cambria" w:hAnsi="Cambria"/>
          <w:iCs/>
          <w:lang w:val="en-US"/>
        </w:rPr>
        <w:t xml:space="preserve"> (2002: 55)</w:t>
      </w:r>
      <w:r w:rsidR="00BD0771">
        <w:rPr>
          <w:rFonts w:ascii="Cambria" w:hAnsi="Cambria"/>
          <w:iCs/>
          <w:lang w:val="en-US"/>
        </w:rPr>
        <w:t xml:space="preserve"> It is Candrakīrti who becomes the </w:t>
      </w:r>
      <w:r w:rsidR="000373F1">
        <w:rPr>
          <w:rFonts w:ascii="Cambria" w:hAnsi="Cambria"/>
          <w:iCs/>
          <w:lang w:val="en-US"/>
        </w:rPr>
        <w:t xml:space="preserve">standard-bearer for the Prāsaṅgika tradition in Tibet, and debates about Prāsaṅgika doctrine are often couched as </w:t>
      </w:r>
      <w:r w:rsidR="000373F1">
        <w:rPr>
          <w:rFonts w:ascii="Cambria" w:hAnsi="Cambria"/>
          <w:iCs/>
          <w:lang w:val="en-US"/>
        </w:rPr>
        <w:lastRenderedPageBreak/>
        <w:t>hermeneutical debates regarding how to read Candrakīrti, as is this one. (</w:t>
      </w:r>
      <w:r w:rsidR="000D72C6">
        <w:rPr>
          <w:rFonts w:ascii="Cambria" w:hAnsi="Cambria"/>
          <w:iCs/>
          <w:lang w:val="en-US"/>
        </w:rPr>
        <w:t>Yakherds 2021</w:t>
      </w:r>
      <w:r w:rsidR="000373F1">
        <w:rPr>
          <w:rFonts w:ascii="Cambria" w:hAnsi="Cambria"/>
          <w:iCs/>
          <w:lang w:val="en-US"/>
        </w:rPr>
        <w:t>, vol. 1, c. 2)</w:t>
      </w:r>
    </w:p>
    <w:p w14:paraId="52763F65" w14:textId="658F4EE8" w:rsidR="00D45439" w:rsidRDefault="00C16DBB" w:rsidP="00F95A94">
      <w:pPr>
        <w:spacing w:after="180" w:line="360" w:lineRule="auto"/>
        <w:ind w:firstLine="720"/>
        <w:rPr>
          <w:rFonts w:ascii="Cambria" w:hAnsi="Cambria"/>
          <w:iCs/>
          <w:lang w:val="en-US"/>
        </w:rPr>
      </w:pPr>
      <w:r>
        <w:rPr>
          <w:rFonts w:ascii="Cambria" w:hAnsi="Cambria"/>
          <w:iCs/>
          <w:lang w:val="en-US"/>
        </w:rPr>
        <w:t>Tsongkhapa</w:t>
      </w:r>
      <w:r w:rsidR="00E24D43">
        <w:rPr>
          <w:rFonts w:ascii="Cambria" w:hAnsi="Cambria"/>
          <w:iCs/>
          <w:lang w:val="en-US"/>
        </w:rPr>
        <w:t xml:space="preserve"> and Khedrup</w:t>
      </w:r>
      <w:r w:rsidR="00E744AF">
        <w:rPr>
          <w:rFonts w:ascii="Cambria" w:hAnsi="Cambria"/>
          <w:iCs/>
          <w:lang w:val="en-US"/>
        </w:rPr>
        <w:t xml:space="preserve">-jé each lean heavily on Nāgārjuna’s and Candrakīrti’s affirmation of the conventional and on their affirmation of the possibility—indeed the necessity—of knowledge of the conventional.  In the section of </w:t>
      </w:r>
      <w:r w:rsidR="00E744AF">
        <w:rPr>
          <w:rFonts w:ascii="Cambria" w:hAnsi="Cambria"/>
          <w:i/>
          <w:iCs/>
          <w:lang w:val="en-US"/>
        </w:rPr>
        <w:t xml:space="preserve">Lam rim chen mo </w:t>
      </w:r>
      <w:r w:rsidR="00E744AF">
        <w:rPr>
          <w:rFonts w:ascii="Cambria" w:hAnsi="Cambria"/>
          <w:iCs/>
          <w:lang w:val="en-US"/>
        </w:rPr>
        <w:t xml:space="preserve">devoted to conventional epistemology, </w:t>
      </w:r>
      <w:r w:rsidR="00632C85">
        <w:rPr>
          <w:rFonts w:ascii="Cambria" w:hAnsi="Cambria"/>
          <w:iCs/>
          <w:lang w:val="en-US"/>
        </w:rPr>
        <w:t xml:space="preserve">Tsongkhapa characterizes conventional knowledge as that warranted by conventional </w:t>
      </w:r>
      <w:r w:rsidR="00632C85">
        <w:rPr>
          <w:rFonts w:ascii="Cambria" w:hAnsi="Cambria"/>
          <w:i/>
          <w:iCs/>
          <w:lang w:val="en-US"/>
        </w:rPr>
        <w:t xml:space="preserve">pramāṇas </w:t>
      </w:r>
      <w:r w:rsidR="00632C85">
        <w:rPr>
          <w:rFonts w:ascii="Cambria" w:hAnsi="Cambria"/>
          <w:iCs/>
          <w:lang w:val="en-US"/>
        </w:rPr>
        <w:t xml:space="preserve">and not undermined by other conventional </w:t>
      </w:r>
      <w:r w:rsidR="00632C85">
        <w:rPr>
          <w:rFonts w:ascii="Cambria" w:hAnsi="Cambria"/>
          <w:i/>
          <w:iCs/>
          <w:lang w:val="en-US"/>
        </w:rPr>
        <w:t xml:space="preserve">pramāṇas. </w:t>
      </w:r>
      <w:r w:rsidR="00632C85">
        <w:rPr>
          <w:rFonts w:ascii="Cambria" w:hAnsi="Cambria"/>
          <w:iCs/>
          <w:lang w:val="en-US"/>
        </w:rPr>
        <w:t xml:space="preserve"> </w:t>
      </w:r>
      <w:r w:rsidR="008D3792">
        <w:rPr>
          <w:rFonts w:ascii="Cambria" w:hAnsi="Cambria"/>
          <w:iCs/>
          <w:lang w:val="en-US"/>
        </w:rPr>
        <w:t>(</w:t>
      </w:r>
      <w:r w:rsidR="001B34D0">
        <w:rPr>
          <w:rFonts w:ascii="Cambria" w:hAnsi="Cambria"/>
          <w:iCs/>
          <w:lang w:val="en-US"/>
        </w:rPr>
        <w:t>2002: 178</w:t>
      </w:r>
      <w:r w:rsidR="008D3792">
        <w:rPr>
          <w:rFonts w:ascii="Cambria" w:hAnsi="Cambria"/>
          <w:iCs/>
          <w:lang w:val="en-US"/>
        </w:rPr>
        <w:t xml:space="preserve">) </w:t>
      </w:r>
      <w:r w:rsidR="00632C85">
        <w:rPr>
          <w:rFonts w:ascii="Cambria" w:hAnsi="Cambria"/>
          <w:iCs/>
          <w:lang w:val="en-US"/>
        </w:rPr>
        <w:t xml:space="preserve">While he follows Dharmakīrti in the view that all </w:t>
      </w:r>
      <w:r w:rsidR="00632C85">
        <w:rPr>
          <w:rFonts w:ascii="Cambria" w:hAnsi="Cambria"/>
          <w:i/>
          <w:iCs/>
          <w:lang w:val="en-US"/>
        </w:rPr>
        <w:t xml:space="preserve">pramāṇas </w:t>
      </w:r>
      <w:r w:rsidR="00632C85">
        <w:rPr>
          <w:rFonts w:ascii="Cambria" w:hAnsi="Cambria"/>
          <w:iCs/>
          <w:lang w:val="en-US"/>
        </w:rPr>
        <w:t xml:space="preserve">are reducible to perception and inference (not taking others such as testimony and analogy as primitive), </w:t>
      </w:r>
      <w:r w:rsidR="00115CC6">
        <w:rPr>
          <w:rFonts w:ascii="Cambria" w:hAnsi="Cambria"/>
          <w:iCs/>
          <w:lang w:val="en-US"/>
        </w:rPr>
        <w:t xml:space="preserve">he accepts the reciprocal support that </w:t>
      </w:r>
      <w:r w:rsidR="00115CC6">
        <w:rPr>
          <w:rFonts w:ascii="Cambria" w:hAnsi="Cambria"/>
          <w:i/>
          <w:iCs/>
          <w:lang w:val="en-US"/>
        </w:rPr>
        <w:t xml:space="preserve">pramāṇas </w:t>
      </w:r>
      <w:r w:rsidR="00115CC6">
        <w:rPr>
          <w:rFonts w:ascii="Cambria" w:hAnsi="Cambria"/>
          <w:iCs/>
          <w:lang w:val="en-US"/>
        </w:rPr>
        <w:t xml:space="preserve">and </w:t>
      </w:r>
      <w:r w:rsidR="00115CC6">
        <w:rPr>
          <w:rFonts w:ascii="Cambria" w:hAnsi="Cambria"/>
          <w:i/>
          <w:iCs/>
          <w:lang w:val="en-US"/>
        </w:rPr>
        <w:t xml:space="preserve">prameyas </w:t>
      </w:r>
      <w:r w:rsidR="00115CC6">
        <w:rPr>
          <w:rFonts w:ascii="Cambria" w:hAnsi="Cambria"/>
          <w:iCs/>
          <w:lang w:val="en-US"/>
        </w:rPr>
        <w:t xml:space="preserve">offer one another. Warrant is confirmed </w:t>
      </w:r>
      <w:r w:rsidR="00115CC6">
        <w:rPr>
          <w:rFonts w:ascii="Cambria" w:hAnsi="Cambria"/>
          <w:i/>
          <w:iCs/>
          <w:lang w:val="en-US"/>
        </w:rPr>
        <w:t xml:space="preserve">both </w:t>
      </w:r>
      <w:r w:rsidR="00115CC6">
        <w:rPr>
          <w:rFonts w:ascii="Cambria" w:hAnsi="Cambria"/>
          <w:iCs/>
          <w:lang w:val="en-US"/>
        </w:rPr>
        <w:t xml:space="preserve">by support </w:t>
      </w:r>
      <w:r w:rsidR="00115CC6">
        <w:rPr>
          <w:rFonts w:ascii="Cambria" w:hAnsi="Cambria"/>
          <w:i/>
          <w:iCs/>
          <w:lang w:val="en-US"/>
        </w:rPr>
        <w:t xml:space="preserve">and </w:t>
      </w:r>
      <w:r w:rsidR="00115CC6">
        <w:rPr>
          <w:rFonts w:ascii="Cambria" w:hAnsi="Cambria"/>
          <w:iCs/>
          <w:lang w:val="en-US"/>
        </w:rPr>
        <w:t>by the absence of underminers.</w:t>
      </w:r>
    </w:p>
    <w:p w14:paraId="4EC5BDD5" w14:textId="79BB234B" w:rsidR="00C16DBB" w:rsidRDefault="00115CC6" w:rsidP="00F95A94">
      <w:pPr>
        <w:spacing w:after="180" w:line="360" w:lineRule="auto"/>
        <w:ind w:firstLine="720"/>
        <w:rPr>
          <w:rFonts w:ascii="Cambria" w:hAnsi="Cambria"/>
          <w:iCs/>
          <w:lang w:val="en-US"/>
        </w:rPr>
      </w:pPr>
      <w:r>
        <w:rPr>
          <w:rFonts w:ascii="Cambria" w:hAnsi="Cambria"/>
          <w:iCs/>
          <w:lang w:val="en-US"/>
        </w:rPr>
        <w:t xml:space="preserve"> Moreover, while conventional epistemic instruments are reliable </w:t>
      </w:r>
      <w:proofErr w:type="gramStart"/>
      <w:r>
        <w:rPr>
          <w:rFonts w:ascii="Cambria" w:hAnsi="Cambria"/>
          <w:iCs/>
          <w:lang w:val="en-US"/>
        </w:rPr>
        <w:t>with regard to</w:t>
      </w:r>
      <w:proofErr w:type="gramEnd"/>
      <w:r>
        <w:rPr>
          <w:rFonts w:ascii="Cambria" w:hAnsi="Cambria"/>
          <w:iCs/>
          <w:lang w:val="en-US"/>
        </w:rPr>
        <w:t xml:space="preserve"> their </w:t>
      </w:r>
      <w:r w:rsidR="00382EE6">
        <w:rPr>
          <w:rFonts w:ascii="Cambria" w:hAnsi="Cambria"/>
          <w:iCs/>
          <w:lang w:val="en-US"/>
        </w:rPr>
        <w:t>apprehended</w:t>
      </w:r>
      <w:r>
        <w:rPr>
          <w:rFonts w:ascii="Cambria" w:hAnsi="Cambria"/>
          <w:iCs/>
          <w:lang w:val="en-US"/>
        </w:rPr>
        <w:t xml:space="preserve"> objects—that is, they accurately present objects to us as beings like us</w:t>
      </w:r>
      <w:r w:rsidR="00382EE6">
        <w:rPr>
          <w:rFonts w:ascii="Cambria" w:hAnsi="Cambria"/>
          <w:iCs/>
          <w:lang w:val="en-US"/>
        </w:rPr>
        <w:t xml:space="preserve"> apprehend them</w:t>
      </w:r>
      <w:r>
        <w:rPr>
          <w:rFonts w:ascii="Cambria" w:hAnsi="Cambria"/>
          <w:iCs/>
          <w:lang w:val="en-US"/>
        </w:rPr>
        <w:t xml:space="preserve">—this is consistent with the fact that they are </w:t>
      </w:r>
      <w:r>
        <w:rPr>
          <w:rFonts w:ascii="Cambria" w:hAnsi="Cambria"/>
          <w:i/>
          <w:iCs/>
          <w:lang w:val="en-US"/>
        </w:rPr>
        <w:t xml:space="preserve">unreliable </w:t>
      </w:r>
      <w:r>
        <w:rPr>
          <w:rFonts w:ascii="Cambria" w:hAnsi="Cambria"/>
          <w:iCs/>
          <w:lang w:val="en-US"/>
        </w:rPr>
        <w:t xml:space="preserve">with regard to their objects’ </w:t>
      </w:r>
      <w:r w:rsidR="00382EE6">
        <w:rPr>
          <w:rFonts w:ascii="Cambria" w:hAnsi="Cambria"/>
          <w:iCs/>
          <w:lang w:val="en-US"/>
        </w:rPr>
        <w:t xml:space="preserve">appearance, or </w:t>
      </w:r>
      <w:r>
        <w:rPr>
          <w:rFonts w:ascii="Cambria" w:hAnsi="Cambria"/>
          <w:iCs/>
          <w:lang w:val="en-US"/>
        </w:rPr>
        <w:t xml:space="preserve">modes of existence: </w:t>
      </w:r>
      <w:r w:rsidR="00382EE6">
        <w:rPr>
          <w:rFonts w:ascii="Cambria" w:hAnsi="Cambria"/>
          <w:iCs/>
          <w:lang w:val="en-US"/>
        </w:rPr>
        <w:t>our conventional objects do not appear to us to be</w:t>
      </w:r>
      <w:r>
        <w:rPr>
          <w:rFonts w:ascii="Cambria" w:hAnsi="Cambria"/>
          <w:iCs/>
          <w:lang w:val="en-US"/>
        </w:rPr>
        <w:t xml:space="preserve"> empty of intrinsic identity and as dependently arisen</w:t>
      </w:r>
      <w:r w:rsidR="00382EE6">
        <w:rPr>
          <w:rFonts w:ascii="Cambria" w:hAnsi="Cambria"/>
          <w:iCs/>
          <w:lang w:val="en-US"/>
        </w:rPr>
        <w:t xml:space="preserve">, </w:t>
      </w:r>
      <w:r w:rsidR="008B384E">
        <w:rPr>
          <w:rFonts w:ascii="Cambria" w:hAnsi="Cambria"/>
          <w:iCs/>
          <w:lang w:val="en-US"/>
        </w:rPr>
        <w:t>although</w:t>
      </w:r>
      <w:r w:rsidR="00382EE6">
        <w:rPr>
          <w:rFonts w:ascii="Cambria" w:hAnsi="Cambria"/>
          <w:iCs/>
          <w:lang w:val="en-US"/>
        </w:rPr>
        <w:t xml:space="preserve"> they are</w:t>
      </w:r>
      <w:r>
        <w:rPr>
          <w:rFonts w:ascii="Cambria" w:hAnsi="Cambria"/>
          <w:iCs/>
          <w:lang w:val="en-US"/>
        </w:rPr>
        <w:t xml:space="preserve">. That is how things are delivered by </w:t>
      </w:r>
      <w:r>
        <w:rPr>
          <w:rFonts w:ascii="Cambria" w:hAnsi="Cambria"/>
          <w:i/>
          <w:iCs/>
          <w:lang w:val="en-US"/>
        </w:rPr>
        <w:t xml:space="preserve">ultimate pramāṇas, </w:t>
      </w:r>
      <w:r>
        <w:rPr>
          <w:rFonts w:ascii="Cambria" w:hAnsi="Cambria"/>
          <w:iCs/>
          <w:lang w:val="en-US"/>
        </w:rPr>
        <w:t>which are irrelevant to the conventional world.</w:t>
      </w:r>
      <w:r w:rsidR="00D45439">
        <w:rPr>
          <w:rFonts w:ascii="Cambria" w:hAnsi="Cambria"/>
          <w:iCs/>
          <w:lang w:val="en-US"/>
        </w:rPr>
        <w:t xml:space="preserve">  And the fact that there is a difference between conventional truth and conventional falsity, as well as one between warranted and unwarranted assertion means that the category of knowledge is contentful, even at the conventional level, even if the subjective states that encode it as well as the objects it delivers are ultimately empty and deceptive.</w:t>
      </w:r>
      <w:r w:rsidR="008B384E">
        <w:rPr>
          <w:rFonts w:ascii="Cambria" w:hAnsi="Cambria"/>
          <w:iCs/>
          <w:lang w:val="en-US"/>
        </w:rPr>
        <w:t xml:space="preserve">  Even if an apple and an armadillo are each ultimately empty, it is nonetheless conventionally true that one is a fruit and the other an animal, and we have the means to come to know that. This is how Tsongkhapa understands Candrakīrti’s insistence that a Prāsaṅgika follows mundane epistemic practices in the world.</w:t>
      </w:r>
    </w:p>
    <w:p w14:paraId="30A7A364" w14:textId="77C8571D" w:rsidR="006A35AF" w:rsidRPr="008D3792" w:rsidRDefault="00D45439" w:rsidP="00F95A94">
      <w:pPr>
        <w:spacing w:after="180" w:line="360" w:lineRule="auto"/>
        <w:ind w:firstLine="720"/>
        <w:rPr>
          <w:rFonts w:ascii="Cambria" w:hAnsi="Cambria"/>
          <w:lang w:val="en-US"/>
        </w:rPr>
      </w:pPr>
      <w:r>
        <w:rPr>
          <w:rFonts w:ascii="Cambria" w:hAnsi="Cambria"/>
          <w:iCs/>
          <w:lang w:val="en-US"/>
        </w:rPr>
        <w:t xml:space="preserve">Khedrup-jé follows Tsongkhapa in this acceptance </w:t>
      </w:r>
      <w:proofErr w:type="gramStart"/>
      <w:r>
        <w:rPr>
          <w:rFonts w:ascii="Cambria" w:hAnsi="Cambria"/>
          <w:iCs/>
          <w:lang w:val="en-US"/>
        </w:rPr>
        <w:t>both of the reality</w:t>
      </w:r>
      <w:proofErr w:type="gramEnd"/>
      <w:r>
        <w:rPr>
          <w:rFonts w:ascii="Cambria" w:hAnsi="Cambria"/>
          <w:iCs/>
          <w:lang w:val="en-US"/>
        </w:rPr>
        <w:t xml:space="preserve"> of the conventional world and of our ability to know it. </w:t>
      </w:r>
      <w:r w:rsidR="008B384E">
        <w:rPr>
          <w:rFonts w:ascii="Cambria" w:hAnsi="Cambria"/>
          <w:iCs/>
          <w:lang w:val="en-US"/>
        </w:rPr>
        <w:t xml:space="preserve">And he points out that this is not simply to accept </w:t>
      </w:r>
      <w:r w:rsidR="008B384E">
        <w:rPr>
          <w:rFonts w:ascii="Cambria" w:hAnsi="Cambria"/>
          <w:i/>
          <w:lang w:val="en-US"/>
        </w:rPr>
        <w:t xml:space="preserve">everything </w:t>
      </w:r>
      <w:r w:rsidR="008B384E">
        <w:rPr>
          <w:rFonts w:ascii="Cambria" w:hAnsi="Cambria"/>
          <w:lang w:val="en-US"/>
        </w:rPr>
        <w:t xml:space="preserve">that </w:t>
      </w:r>
      <w:r w:rsidR="008B384E">
        <w:rPr>
          <w:rFonts w:ascii="Cambria" w:hAnsi="Cambria"/>
          <w:i/>
          <w:lang w:val="en-US"/>
        </w:rPr>
        <w:t xml:space="preserve">anyone </w:t>
      </w:r>
      <w:r w:rsidR="008B384E">
        <w:rPr>
          <w:rFonts w:ascii="Cambria" w:hAnsi="Cambria"/>
          <w:lang w:val="en-US"/>
        </w:rPr>
        <w:t>might say.  He write</w:t>
      </w:r>
      <w:r w:rsidR="00D9621F">
        <w:rPr>
          <w:rFonts w:ascii="Cambria" w:hAnsi="Cambria"/>
          <w:lang w:val="en-US"/>
        </w:rPr>
        <w:t>s</w:t>
      </w:r>
      <w:r w:rsidR="008B384E">
        <w:rPr>
          <w:rFonts w:ascii="Cambria" w:hAnsi="Cambria"/>
          <w:lang w:val="en-US"/>
        </w:rPr>
        <w:t xml:space="preserve"> that it is erroneous to say that “to follow mundane practice” means “to accept what ordinary idiots who are ignorant of </w:t>
      </w:r>
      <w:r w:rsidR="008B384E">
        <w:rPr>
          <w:rFonts w:ascii="Cambria" w:hAnsi="Cambria"/>
          <w:lang w:val="en-US"/>
        </w:rPr>
        <w:lastRenderedPageBreak/>
        <w:t xml:space="preserve">philosophy accept.” </w:t>
      </w:r>
      <w:r w:rsidR="00D9621F">
        <w:rPr>
          <w:rFonts w:ascii="Cambria" w:hAnsi="Cambria"/>
          <w:lang w:val="en-US"/>
        </w:rPr>
        <w:t>(</w:t>
      </w:r>
      <w:r w:rsidR="000D72C6">
        <w:rPr>
          <w:rFonts w:ascii="Cambria" w:hAnsi="Cambria"/>
          <w:lang w:val="en-US"/>
        </w:rPr>
        <w:t>Yakherds 2021</w:t>
      </w:r>
      <w:r w:rsidR="00D9621F">
        <w:rPr>
          <w:rFonts w:ascii="Cambria" w:hAnsi="Cambria"/>
          <w:lang w:val="en-US"/>
        </w:rPr>
        <w:t xml:space="preserve"> v. 1, p. 96</w:t>
      </w:r>
      <w:proofErr w:type="gramStart"/>
      <w:r w:rsidR="00D9621F">
        <w:rPr>
          <w:rFonts w:ascii="Cambria" w:hAnsi="Cambria"/>
          <w:lang w:val="en-US"/>
        </w:rPr>
        <w:t>)  There</w:t>
      </w:r>
      <w:proofErr w:type="gramEnd"/>
      <w:r w:rsidR="00D9621F">
        <w:rPr>
          <w:rFonts w:ascii="Cambria" w:hAnsi="Cambria"/>
          <w:lang w:val="en-US"/>
        </w:rPr>
        <w:t xml:space="preserve"> is a difference between getting it right an getting it wrong conventionally, and a difference between a statement that is warranted conventionally and one that is not.  The fact that knowledge is a self-correcting structure, including not only awareness of facts but also justificatory competence in which corroboration strengthens warrant and conflict diminishes it means that there are better and worse knowers, and a competent knower is one who wields the </w:t>
      </w:r>
      <w:r w:rsidR="00D9621F">
        <w:rPr>
          <w:rFonts w:ascii="Cambria" w:hAnsi="Cambria"/>
          <w:i/>
          <w:lang w:val="en-US"/>
        </w:rPr>
        <w:t xml:space="preserve">pramāṇas </w:t>
      </w:r>
      <w:r w:rsidR="00C750BA">
        <w:rPr>
          <w:rFonts w:ascii="Cambria" w:hAnsi="Cambria"/>
          <w:lang w:val="en-US"/>
        </w:rPr>
        <w:t xml:space="preserve">skillfully.  </w:t>
      </w:r>
      <w:proofErr w:type="spellStart"/>
      <w:r w:rsidR="00C750BA">
        <w:rPr>
          <w:rFonts w:ascii="Cambria" w:hAnsi="Cambria"/>
          <w:lang w:val="en-US"/>
        </w:rPr>
        <w:t>Khederup-jé</w:t>
      </w:r>
      <w:proofErr w:type="spellEnd"/>
      <w:r w:rsidR="00C750BA">
        <w:rPr>
          <w:rFonts w:ascii="Cambria" w:hAnsi="Cambria"/>
          <w:lang w:val="en-US"/>
        </w:rPr>
        <w:t xml:space="preserve"> defines a warrant as “a cognitive act that is not deceptive with respect to its apprehended object.”  </w:t>
      </w:r>
      <w:r w:rsidR="008D3792">
        <w:rPr>
          <w:rFonts w:ascii="Cambria" w:hAnsi="Cambria"/>
          <w:lang w:val="en-US"/>
        </w:rPr>
        <w:t>(</w:t>
      </w:r>
      <w:r w:rsidR="008D3792">
        <w:rPr>
          <w:rFonts w:ascii="Cambria" w:hAnsi="Cambria"/>
          <w:i/>
          <w:lang w:val="en-US"/>
        </w:rPr>
        <w:t xml:space="preserve">Ibid., </w:t>
      </w:r>
      <w:r w:rsidR="008D3792">
        <w:rPr>
          <w:rFonts w:ascii="Cambria" w:hAnsi="Cambria"/>
          <w:lang w:val="en-US"/>
        </w:rPr>
        <w:t>97)</w:t>
      </w:r>
    </w:p>
    <w:p w14:paraId="5E5FEA15" w14:textId="23F78471" w:rsidR="00115CC6" w:rsidRDefault="001F4368" w:rsidP="00F95A94">
      <w:pPr>
        <w:spacing w:after="180" w:line="360" w:lineRule="auto"/>
        <w:ind w:firstLine="720"/>
        <w:rPr>
          <w:rFonts w:ascii="Cambria" w:hAnsi="Cambria"/>
          <w:lang w:val="en-US"/>
        </w:rPr>
      </w:pPr>
      <w:r>
        <w:rPr>
          <w:rFonts w:ascii="Cambria" w:hAnsi="Cambria"/>
          <w:lang w:val="en-US"/>
        </w:rPr>
        <w:t>An act</w:t>
      </w:r>
      <w:r w:rsidR="006A35AF">
        <w:rPr>
          <w:rFonts w:ascii="Cambria" w:hAnsi="Cambria"/>
          <w:lang w:val="en-US"/>
        </w:rPr>
        <w:t xml:space="preserve">, he </w:t>
      </w:r>
      <w:r w:rsidR="000B6514">
        <w:rPr>
          <w:rFonts w:ascii="Cambria" w:hAnsi="Cambria"/>
          <w:lang w:val="en-US"/>
        </w:rPr>
        <w:t>argues, can</w:t>
      </w:r>
      <w:r>
        <w:rPr>
          <w:rFonts w:ascii="Cambria" w:hAnsi="Cambria"/>
          <w:lang w:val="en-US"/>
        </w:rPr>
        <w:t xml:space="preserve"> be nondeceptive with respect to an apprehended object while still being deceptive with respect to the way it appears.  </w:t>
      </w:r>
      <w:r w:rsidR="000B6514">
        <w:rPr>
          <w:rFonts w:ascii="Cambria" w:hAnsi="Cambria"/>
          <w:lang w:val="en-US"/>
        </w:rPr>
        <w:t>Imagine being in a restaurant with a mirrored wall, waiting for your friend.  You look for a moment at the mirror to your right and see them entering the door, but you take yourself to be seeing them directly and wave in the direction of the mirror while they are to your left. You were correct—and warranted—in your belief that your friend entered the restaurant, but you are deceived with respect to how they appeared to you. They are on your left, not behind the mirror.  Just so, when you see the apple and know that it is an apple, not an armadillo, despite taking it to be intrinsically existent, and not merely conventionally real. (</w:t>
      </w:r>
      <w:r w:rsidR="000B6514">
        <w:rPr>
          <w:rFonts w:ascii="Cambria" w:hAnsi="Cambria"/>
          <w:i/>
          <w:lang w:val="en-US"/>
        </w:rPr>
        <w:t xml:space="preserve">Ibid., </w:t>
      </w:r>
      <w:r w:rsidR="000B6514">
        <w:rPr>
          <w:rFonts w:ascii="Cambria" w:hAnsi="Cambria"/>
          <w:lang w:val="en-US"/>
        </w:rPr>
        <w:t>pp. 97-99)</w:t>
      </w:r>
    </w:p>
    <w:p w14:paraId="69A0BA91" w14:textId="4A774728" w:rsidR="00B233FD" w:rsidRPr="000B6514" w:rsidRDefault="00B233FD" w:rsidP="00F95A94">
      <w:pPr>
        <w:spacing w:after="180" w:line="360" w:lineRule="auto"/>
        <w:ind w:firstLine="720"/>
        <w:rPr>
          <w:rFonts w:ascii="Cambria" w:hAnsi="Cambria"/>
          <w:lang w:val="en-US"/>
        </w:rPr>
      </w:pPr>
      <w:r>
        <w:rPr>
          <w:rFonts w:ascii="Cambria" w:hAnsi="Cambria"/>
          <w:lang w:val="en-US"/>
        </w:rPr>
        <w:t xml:space="preserve">This view makes room for epistemic warrant and hence for knowledge, and a robust distinction between truth and falsity within the Prāsaṅgika tradition. And it does so while eschewing foundationalism, offering an analysis of knowledge in the context of error, an analysis that also makes sense of our practices of justification and correction. On the Geluk understanding this is important because the path to awakening must begin in </w:t>
      </w:r>
      <w:proofErr w:type="gramStart"/>
      <w:r>
        <w:rPr>
          <w:rFonts w:ascii="Cambria" w:hAnsi="Cambria"/>
          <w:lang w:val="en-US"/>
        </w:rPr>
        <w:t>samsara, and</w:t>
      </w:r>
      <w:proofErr w:type="gramEnd"/>
      <w:r>
        <w:rPr>
          <w:rFonts w:ascii="Cambria" w:hAnsi="Cambria"/>
          <w:lang w:val="en-US"/>
        </w:rPr>
        <w:t xml:space="preserve"> must rely on developing a steadily deeper conceptual understanding of dependent origination and emptiness in order to warrant </w:t>
      </w:r>
      <w:r w:rsidR="00BD6BBB">
        <w:rPr>
          <w:rFonts w:ascii="Cambria" w:hAnsi="Cambria"/>
          <w:lang w:val="en-US"/>
        </w:rPr>
        <w:t xml:space="preserve">the perception of the ultimate when that occurs.  The conceptualized apprehension of the ultimate and the nonconceptualized realization of a buddha take the same object, only in different modes of presentation. </w:t>
      </w:r>
      <w:proofErr w:type="gramStart"/>
      <w:r w:rsidR="00BD6BBB">
        <w:rPr>
          <w:rFonts w:ascii="Cambria" w:hAnsi="Cambria"/>
          <w:lang w:val="en-US"/>
        </w:rPr>
        <w:t>So,  on</w:t>
      </w:r>
      <w:proofErr w:type="gramEnd"/>
      <w:r w:rsidR="00BD6BBB">
        <w:rPr>
          <w:rFonts w:ascii="Cambria" w:hAnsi="Cambria"/>
          <w:lang w:val="en-US"/>
        </w:rPr>
        <w:t xml:space="preserve"> this view, it is important antecedently to understand emptiness so that we will we know it when we see it.</w:t>
      </w:r>
      <w:r w:rsidR="008D3792">
        <w:rPr>
          <w:rFonts w:ascii="Cambria" w:hAnsi="Cambria"/>
          <w:lang w:val="en-US"/>
        </w:rPr>
        <w:t xml:space="preserve">  This provides the solution to the problem of the achievement of awakening using defective cognitive faculties: the use of those faculties hones them and bring us closer and closer to a discursive understanding of the truth; that discursive </w:t>
      </w:r>
      <w:r w:rsidR="008D3792">
        <w:rPr>
          <w:rFonts w:ascii="Cambria" w:hAnsi="Cambria"/>
          <w:lang w:val="en-US"/>
        </w:rPr>
        <w:lastRenderedPageBreak/>
        <w:t xml:space="preserve">understanding allows us to recognize that truth when we glimpse it in meditative </w:t>
      </w:r>
      <w:proofErr w:type="gramStart"/>
      <w:r w:rsidR="008D3792">
        <w:rPr>
          <w:rFonts w:ascii="Cambria" w:hAnsi="Cambria"/>
          <w:lang w:val="en-US"/>
        </w:rPr>
        <w:t>practice, and</w:t>
      </w:r>
      <w:proofErr w:type="gramEnd"/>
      <w:r w:rsidR="008D3792">
        <w:rPr>
          <w:rFonts w:ascii="Cambria" w:hAnsi="Cambria"/>
          <w:lang w:val="en-US"/>
        </w:rPr>
        <w:t xml:space="preserve"> allows that perception to be integrated into knowledge subsequent to meditative equipoise.</w:t>
      </w:r>
    </w:p>
    <w:p w14:paraId="4FA97612" w14:textId="6EAF19AA" w:rsidR="00E95E25" w:rsidRPr="00F95A94" w:rsidRDefault="00F74F95" w:rsidP="008D3792">
      <w:pPr>
        <w:keepNext/>
        <w:spacing w:before="60"/>
        <w:rPr>
          <w:rFonts w:ascii="Cambria" w:hAnsi="Cambria"/>
          <w:b/>
          <w:lang w:val="en-US"/>
        </w:rPr>
      </w:pPr>
      <w:r>
        <w:rPr>
          <w:rFonts w:ascii="Cambria" w:hAnsi="Cambria"/>
          <w:b/>
          <w:lang w:val="en-US"/>
        </w:rPr>
        <w:t>2</w:t>
      </w:r>
      <w:r w:rsidR="00E95E25" w:rsidRPr="00F95A94">
        <w:rPr>
          <w:rFonts w:ascii="Cambria" w:hAnsi="Cambria"/>
          <w:b/>
          <w:lang w:val="en-US"/>
        </w:rPr>
        <w:t>.  Taktsang’s Critique</w:t>
      </w:r>
    </w:p>
    <w:p w14:paraId="3E837DC3" w14:textId="281821C4" w:rsidR="00F95A94" w:rsidRDefault="00873310" w:rsidP="00504B17">
      <w:pPr>
        <w:spacing w:after="180" w:line="360" w:lineRule="auto"/>
        <w:rPr>
          <w:rFonts w:ascii="Cambria" w:hAnsi="Cambria"/>
          <w:lang w:val="en-US"/>
        </w:rPr>
      </w:pPr>
      <w:proofErr w:type="spellStart"/>
      <w:r>
        <w:rPr>
          <w:rFonts w:ascii="Cambria" w:hAnsi="Cambria"/>
          <w:lang w:val="en-US"/>
        </w:rPr>
        <w:t>Takstang</w:t>
      </w:r>
      <w:proofErr w:type="spellEnd"/>
      <w:r>
        <w:rPr>
          <w:rFonts w:ascii="Cambria" w:hAnsi="Cambria"/>
          <w:lang w:val="en-US"/>
        </w:rPr>
        <w:t xml:space="preserve"> Lotsawa rejects this understanding of Prāsaṅgika entirely. </w:t>
      </w:r>
      <w:r w:rsidR="00504B17">
        <w:rPr>
          <w:rFonts w:ascii="Cambria" w:hAnsi="Cambria"/>
          <w:lang w:val="en-US"/>
        </w:rPr>
        <w:t xml:space="preserve">In the section of </w:t>
      </w:r>
      <w:r w:rsidR="00504B17">
        <w:rPr>
          <w:rFonts w:ascii="Cambria" w:hAnsi="Cambria"/>
          <w:i/>
          <w:lang w:val="en-US"/>
        </w:rPr>
        <w:t xml:space="preserve">Freedom from Extremes </w:t>
      </w:r>
      <w:r w:rsidR="00504B17">
        <w:rPr>
          <w:rFonts w:ascii="Cambria" w:hAnsi="Cambria"/>
          <w:lang w:val="en-US"/>
        </w:rPr>
        <w:t>devoted to the eighteen great contradictions, he raises the following critiques:</w:t>
      </w:r>
    </w:p>
    <w:p w14:paraId="40D4130D" w14:textId="36850A63" w:rsidR="00061A89" w:rsidRDefault="00061A89" w:rsidP="003A0ACC">
      <w:pPr>
        <w:ind w:left="720" w:right="662"/>
        <w:rPr>
          <w:rFonts w:ascii="Times New Roman" w:eastAsia="Times New Roman" w:hAnsi="Times New Roman" w:cs="Times New Roman"/>
          <w:szCs w:val="24"/>
          <w:lang w:eastAsia="en-GB" w:bidi="he-IL"/>
        </w:rPr>
      </w:pPr>
      <w:r w:rsidRPr="003A0ACC">
        <w:rPr>
          <w:rFonts w:ascii="Cambria" w:hAnsi="Cambria" w:cs="Minion Pro"/>
          <w:color w:val="211D1E"/>
          <w:szCs w:val="24"/>
        </w:rPr>
        <w:t xml:space="preserve">They </w:t>
      </w:r>
      <w:r w:rsidRPr="003A0ACC">
        <w:rPr>
          <w:rFonts w:ascii="Times New Roman" w:eastAsia="Times New Roman" w:hAnsi="Times New Roman" w:cs="Times New Roman"/>
          <w:szCs w:val="24"/>
          <w:lang w:eastAsia="en-GB" w:bidi="he-IL"/>
        </w:rPr>
        <w:t>might reply that they do not accept foundations. But not being foundational contradicts being epistemically warranted; for to be epistemi</w:t>
      </w:r>
      <w:r w:rsidRPr="003A0ACC">
        <w:rPr>
          <w:rFonts w:ascii="Times New Roman" w:eastAsia="Times New Roman" w:hAnsi="Times New Roman" w:cs="Times New Roman"/>
          <w:szCs w:val="24"/>
          <w:lang w:eastAsia="en-GB" w:bidi="he-IL"/>
        </w:rPr>
        <w:softHyphen/>
        <w:t>cally warranted means to be nondeceptive, and being nondeceptive means nothing more than being foundational. (</w:t>
      </w:r>
      <w:r w:rsidR="000D72C6">
        <w:rPr>
          <w:rFonts w:ascii="Times New Roman" w:eastAsia="Times New Roman" w:hAnsi="Times New Roman" w:cs="Times New Roman"/>
          <w:szCs w:val="24"/>
          <w:lang w:eastAsia="en-GB" w:bidi="he-IL"/>
        </w:rPr>
        <w:t>Yakherds 2021</w:t>
      </w:r>
      <w:r w:rsidRPr="003A0ACC">
        <w:rPr>
          <w:rFonts w:ascii="Times New Roman" w:eastAsia="Times New Roman" w:hAnsi="Times New Roman" w:cs="Times New Roman"/>
          <w:szCs w:val="24"/>
          <w:lang w:eastAsia="en-GB" w:bidi="he-IL"/>
        </w:rPr>
        <w:t>, v. 22, p. 25)</w:t>
      </w:r>
    </w:p>
    <w:p w14:paraId="7B60B5A2" w14:textId="482511F2" w:rsidR="003A0ACC" w:rsidRDefault="003A0ACC" w:rsidP="003A0ACC">
      <w:pPr>
        <w:ind w:left="720" w:right="662"/>
        <w:rPr>
          <w:rFonts w:ascii="Times New Roman" w:eastAsia="Times New Roman" w:hAnsi="Times New Roman" w:cs="Times New Roman"/>
          <w:szCs w:val="24"/>
          <w:lang w:eastAsia="en-GB" w:bidi="he-IL"/>
        </w:rPr>
      </w:pPr>
    </w:p>
    <w:p w14:paraId="43F5C125" w14:textId="772FCF28" w:rsidR="003A0ACC" w:rsidRPr="003A0ACC" w:rsidRDefault="003A0ACC" w:rsidP="00EA4ACE">
      <w:pPr>
        <w:spacing w:after="180" w:line="360" w:lineRule="auto"/>
        <w:rPr>
          <w:rFonts w:ascii="Times New Roman" w:eastAsia="Times New Roman" w:hAnsi="Times New Roman" w:cs="Times New Roman"/>
          <w:szCs w:val="24"/>
          <w:lang w:eastAsia="en-GB" w:bidi="he-IL"/>
        </w:rPr>
      </w:pPr>
      <w:r>
        <w:rPr>
          <w:rFonts w:ascii="Cambria" w:hAnsi="Cambria"/>
          <w:lang w:val="en-US"/>
        </w:rPr>
        <w:t xml:space="preserve">Here Taktsang identifies epistemic warrant with foundational status, explicitly committing himself to foundationalism.  He thus claims that Tsongkhapa and Khedrup-jé are inconsistent when they argue that we can have warrant without foundations.  This is one of the two principal </w:t>
      </w:r>
      <w:r w:rsidR="00EA4ACE">
        <w:rPr>
          <w:rFonts w:ascii="Cambria" w:hAnsi="Cambria"/>
          <w:lang w:val="en-US"/>
        </w:rPr>
        <w:t>grounds of his critique of their account of Prāsaṅgika epistemology.  The next passages articulate the second ground:</w:t>
      </w:r>
    </w:p>
    <w:p w14:paraId="7469F843" w14:textId="1C8C9FFB" w:rsidR="00504B17" w:rsidRDefault="00FB78E5" w:rsidP="003A0ACC">
      <w:pPr>
        <w:ind w:left="720" w:right="662"/>
        <w:rPr>
          <w:rFonts w:ascii="Times New Roman" w:eastAsia="Times New Roman" w:hAnsi="Times New Roman" w:cs="Times New Roman"/>
          <w:szCs w:val="24"/>
          <w:lang w:eastAsia="en-GB" w:bidi="he-IL"/>
        </w:rPr>
      </w:pPr>
      <w:r w:rsidRPr="003A0ACC">
        <w:rPr>
          <w:rFonts w:ascii="Times New Roman" w:eastAsia="Times New Roman" w:hAnsi="Times New Roman" w:cs="Times New Roman"/>
          <w:i/>
          <w:szCs w:val="24"/>
          <w:lang w:eastAsia="en-GB" w:bidi="he-IL"/>
        </w:rPr>
        <w:t>All objects being false contradicts their subjects being non-deceptive</w:t>
      </w:r>
      <w:r w:rsidRPr="003A0ACC">
        <w:rPr>
          <w:rFonts w:ascii="Times New Roman" w:eastAsia="Times New Roman" w:hAnsi="Times New Roman" w:cs="Times New Roman"/>
          <w:szCs w:val="24"/>
          <w:lang w:eastAsia="en-GB" w:bidi="he-IL"/>
        </w:rPr>
        <w:t>. [13a]</w:t>
      </w:r>
    </w:p>
    <w:p w14:paraId="59E231B4" w14:textId="77777777" w:rsidR="003A0ACC" w:rsidRPr="003A0ACC" w:rsidRDefault="003A0ACC" w:rsidP="003A0ACC">
      <w:pPr>
        <w:ind w:left="720" w:right="662"/>
        <w:rPr>
          <w:rFonts w:ascii="Times New Roman" w:eastAsia="Times New Roman" w:hAnsi="Times New Roman" w:cs="Times New Roman"/>
          <w:szCs w:val="24"/>
          <w:lang w:eastAsia="en-GB" w:bidi="he-IL"/>
        </w:rPr>
      </w:pPr>
    </w:p>
    <w:p w14:paraId="7B3F9750" w14:textId="1603A854" w:rsidR="00FB78E5" w:rsidRDefault="00FB78E5" w:rsidP="003A0ACC">
      <w:pPr>
        <w:ind w:left="720" w:right="662"/>
        <w:rPr>
          <w:rFonts w:ascii="Times New Roman" w:eastAsia="Times New Roman" w:hAnsi="Times New Roman" w:cs="Times New Roman"/>
          <w:szCs w:val="24"/>
          <w:lang w:eastAsia="en-GB" w:bidi="he-IL"/>
        </w:rPr>
      </w:pPr>
      <w:r w:rsidRPr="003A0ACC">
        <w:rPr>
          <w:rFonts w:ascii="Times New Roman" w:eastAsia="Times New Roman" w:hAnsi="Times New Roman" w:cs="Times New Roman"/>
          <w:szCs w:val="24"/>
          <w:lang w:eastAsia="en-GB" w:bidi="he-IL"/>
        </w:rPr>
        <w:t xml:space="preserve">…[I]t is contradictory to hold on the one hand that all </w:t>
      </w:r>
      <w:r w:rsidR="00485B2D" w:rsidRPr="003A0ACC">
        <w:rPr>
          <w:rFonts w:ascii="Times New Roman" w:eastAsia="Times New Roman" w:hAnsi="Times New Roman" w:cs="Times New Roman"/>
          <w:szCs w:val="24"/>
          <w:lang w:eastAsia="en-GB" w:bidi="he-IL"/>
        </w:rPr>
        <w:t>the relative objects are false and on the other hand that the cognitions that are their subjects can be nondeceptive and epistemically warranting. This is because when an object is a deceptive phenomenon, its cognition cannot possibly be an epistemic warrant.  (</w:t>
      </w:r>
      <w:r w:rsidR="00061A89" w:rsidRPr="003A0ACC">
        <w:rPr>
          <w:rFonts w:ascii="Times New Roman" w:eastAsia="Times New Roman" w:hAnsi="Times New Roman" w:cs="Times New Roman"/>
          <w:szCs w:val="24"/>
          <w:lang w:eastAsia="en-GB" w:bidi="he-IL"/>
        </w:rPr>
        <w:t>Ibid.</w:t>
      </w:r>
      <w:r w:rsidR="00485B2D" w:rsidRPr="003A0ACC">
        <w:rPr>
          <w:rFonts w:ascii="Times New Roman" w:eastAsia="Times New Roman" w:hAnsi="Times New Roman" w:cs="Times New Roman"/>
          <w:szCs w:val="24"/>
          <w:lang w:eastAsia="en-GB" w:bidi="he-IL"/>
        </w:rPr>
        <w:t>, pp, 33-34)</w:t>
      </w:r>
    </w:p>
    <w:p w14:paraId="255D622E" w14:textId="0A8C3304" w:rsidR="003A0ACC" w:rsidRDefault="003A0ACC" w:rsidP="003A0ACC">
      <w:pPr>
        <w:ind w:left="720" w:right="662"/>
        <w:rPr>
          <w:rFonts w:ascii="Times New Roman" w:eastAsia="Times New Roman" w:hAnsi="Times New Roman" w:cs="Times New Roman"/>
          <w:szCs w:val="24"/>
          <w:lang w:eastAsia="en-GB" w:bidi="he-IL"/>
        </w:rPr>
      </w:pPr>
    </w:p>
    <w:p w14:paraId="3F8DCBB0" w14:textId="00E12DBC" w:rsidR="003A0ACC" w:rsidRPr="003A0ACC" w:rsidRDefault="00EA4ACE" w:rsidP="003A0ACC">
      <w:pPr>
        <w:spacing w:after="180" w:line="360" w:lineRule="auto"/>
        <w:rPr>
          <w:rFonts w:ascii="Cambria" w:hAnsi="Cambria"/>
          <w:lang w:val="en-US"/>
        </w:rPr>
      </w:pPr>
      <w:r>
        <w:rPr>
          <w:rFonts w:ascii="Cambria" w:hAnsi="Cambria"/>
          <w:lang w:val="en-US"/>
        </w:rPr>
        <w:t xml:space="preserve">Here </w:t>
      </w:r>
      <w:proofErr w:type="spellStart"/>
      <w:r>
        <w:rPr>
          <w:rFonts w:ascii="Cambria" w:hAnsi="Cambria"/>
          <w:lang w:val="en-US"/>
        </w:rPr>
        <w:t>Takstang</w:t>
      </w:r>
      <w:proofErr w:type="spellEnd"/>
      <w:r>
        <w:rPr>
          <w:rFonts w:ascii="Cambria" w:hAnsi="Cambria"/>
          <w:lang w:val="en-US"/>
        </w:rPr>
        <w:t xml:space="preserve"> argues that the deceptiveness of conventional phenomena entails that any subjective epistemic state that apprehends them is mistaken. But a state that is mistaken fails both to be true and to be justified or justificatory. Hence know knowledge of conventional objects is possible.  We might see this argument as a version of the negative phase of Pyrrhonian skepticism without an embrace of its positive phase in the form of the “fourfold prescription.”</w:t>
      </w:r>
      <w:r w:rsidR="00FA1A14">
        <w:rPr>
          <w:rFonts w:ascii="Cambria" w:hAnsi="Cambria"/>
          <w:lang w:val="en-US"/>
        </w:rPr>
        <w:t xml:space="preserve">  </w:t>
      </w:r>
      <w:r w:rsidR="00090FF3">
        <w:rPr>
          <w:rFonts w:ascii="Cambria" w:hAnsi="Cambria"/>
          <w:lang w:val="en-US"/>
        </w:rPr>
        <w:t xml:space="preserve">(See Dreyfus and Garfield 2010, 2022.) </w:t>
      </w:r>
      <w:r w:rsidR="00FA1A14">
        <w:rPr>
          <w:rFonts w:ascii="Cambria" w:hAnsi="Cambria"/>
          <w:lang w:val="en-US"/>
        </w:rPr>
        <w:t>This critique continues in the second line of verse 13 and its commentary:</w:t>
      </w:r>
    </w:p>
    <w:p w14:paraId="5738DAE7" w14:textId="6411EA80" w:rsidR="00485B2D" w:rsidRDefault="00485B2D" w:rsidP="003A0ACC">
      <w:pPr>
        <w:ind w:left="720" w:right="662"/>
        <w:rPr>
          <w:rFonts w:ascii="Times New Roman" w:eastAsia="Times New Roman" w:hAnsi="Times New Roman" w:cs="Times New Roman"/>
          <w:szCs w:val="24"/>
          <w:lang w:eastAsia="en-GB" w:bidi="he-IL"/>
        </w:rPr>
      </w:pPr>
      <w:r w:rsidRPr="003A0ACC">
        <w:rPr>
          <w:rFonts w:ascii="Times New Roman" w:eastAsia="Times New Roman" w:hAnsi="Times New Roman" w:cs="Times New Roman"/>
          <w:i/>
          <w:szCs w:val="24"/>
          <w:lang w:eastAsia="en-GB" w:bidi="he-IL"/>
        </w:rPr>
        <w:t>Being in error about an object contradicts being an epistemic warrant for it</w:t>
      </w:r>
      <w:r w:rsidRPr="003A0ACC">
        <w:rPr>
          <w:rFonts w:ascii="Times New Roman" w:eastAsia="Times New Roman" w:hAnsi="Times New Roman" w:cs="Times New Roman"/>
          <w:szCs w:val="24"/>
          <w:lang w:eastAsia="en-GB" w:bidi="he-IL"/>
        </w:rPr>
        <w:t>. [13b] (Ibid. p. 34)</w:t>
      </w:r>
    </w:p>
    <w:p w14:paraId="053C9FBA" w14:textId="77777777" w:rsidR="003A0ACC" w:rsidRPr="003A0ACC" w:rsidRDefault="003A0ACC" w:rsidP="00FA1A14">
      <w:pPr>
        <w:ind w:right="662"/>
        <w:rPr>
          <w:rFonts w:ascii="Times New Roman" w:eastAsia="Times New Roman" w:hAnsi="Times New Roman" w:cs="Times New Roman"/>
          <w:szCs w:val="24"/>
          <w:lang w:eastAsia="en-GB" w:bidi="he-IL"/>
        </w:rPr>
      </w:pPr>
    </w:p>
    <w:p w14:paraId="3B5899CA" w14:textId="111A3DAD" w:rsidR="00485B2D" w:rsidRDefault="00485B2D" w:rsidP="003A0ACC">
      <w:pPr>
        <w:ind w:left="720" w:right="662"/>
        <w:rPr>
          <w:rFonts w:ascii="Cambria" w:hAnsi="Cambria"/>
          <w:lang w:val="en-US"/>
        </w:rPr>
      </w:pPr>
      <w:r w:rsidRPr="003A0ACC">
        <w:rPr>
          <w:rFonts w:ascii="Times New Roman" w:eastAsia="Times New Roman" w:hAnsi="Times New Roman" w:cs="Times New Roman"/>
          <w:szCs w:val="24"/>
          <w:lang w:eastAsia="en-GB" w:bidi="he-IL"/>
        </w:rPr>
        <w:t xml:space="preserve">…[W]hen someone says, “Even ordinary people understand that things arise from other things,”…. Candrakīrti replies: </w:t>
      </w:r>
      <w:r w:rsidR="004557ED" w:rsidRPr="003A0ACC">
        <w:rPr>
          <w:rFonts w:ascii="Times New Roman" w:eastAsia="Times New Roman" w:hAnsi="Times New Roman" w:cs="Times New Roman"/>
          <w:szCs w:val="24"/>
          <w:lang w:eastAsia="en-GB" w:bidi="he-IL"/>
        </w:rPr>
        <w:t xml:space="preserve">“It is not reasonable to refer to fools as epistemic warrants.”  This means that in general, in our own Madhyamaka system, these are not epistemic </w:t>
      </w:r>
      <w:r w:rsidR="00B00953" w:rsidRPr="003A0ACC">
        <w:rPr>
          <w:rFonts w:ascii="Times New Roman" w:eastAsia="Times New Roman" w:hAnsi="Times New Roman" w:cs="Times New Roman"/>
          <w:szCs w:val="24"/>
          <w:lang w:eastAsia="en-GB" w:bidi="he-IL"/>
        </w:rPr>
        <w:t>warrants</w:t>
      </w:r>
      <w:r w:rsidR="004557ED" w:rsidRPr="003A0ACC">
        <w:rPr>
          <w:rFonts w:ascii="Times New Roman" w:eastAsia="Times New Roman" w:hAnsi="Times New Roman" w:cs="Times New Roman"/>
          <w:szCs w:val="24"/>
          <w:lang w:eastAsia="en-GB" w:bidi="he-IL"/>
        </w:rPr>
        <w:t xml:space="preserve"> with respect to either of the two truths.” (Ibid.,</w:t>
      </w:r>
      <w:r w:rsidR="008D3792">
        <w:rPr>
          <w:rFonts w:ascii="Times New Roman" w:eastAsia="Times New Roman" w:hAnsi="Times New Roman" w:cs="Times New Roman"/>
          <w:szCs w:val="24"/>
          <w:lang w:eastAsia="en-GB" w:bidi="he-IL"/>
        </w:rPr>
        <w:t> </w:t>
      </w:r>
      <w:r w:rsidR="004557ED" w:rsidRPr="003A0ACC">
        <w:rPr>
          <w:rFonts w:ascii="Times New Roman" w:eastAsia="Times New Roman" w:hAnsi="Times New Roman" w:cs="Times New Roman"/>
          <w:szCs w:val="24"/>
          <w:lang w:eastAsia="en-GB" w:bidi="he-IL"/>
        </w:rPr>
        <w:t>p.</w:t>
      </w:r>
      <w:r w:rsidR="008D3792">
        <w:rPr>
          <w:rFonts w:ascii="Times New Roman" w:eastAsia="Times New Roman" w:hAnsi="Times New Roman" w:cs="Times New Roman"/>
          <w:szCs w:val="24"/>
          <w:lang w:eastAsia="en-GB" w:bidi="he-IL"/>
        </w:rPr>
        <w:t> </w:t>
      </w:r>
      <w:r w:rsidR="004557ED" w:rsidRPr="003A0ACC">
        <w:rPr>
          <w:rFonts w:ascii="Times New Roman" w:eastAsia="Times New Roman" w:hAnsi="Times New Roman" w:cs="Times New Roman"/>
          <w:szCs w:val="24"/>
          <w:lang w:eastAsia="en-GB" w:bidi="he-IL"/>
        </w:rPr>
        <w:t>35)</w:t>
      </w:r>
      <w:r w:rsidR="00B00953" w:rsidRPr="003A0ACC">
        <w:rPr>
          <w:rFonts w:ascii="Cambria" w:hAnsi="Cambria"/>
          <w:szCs w:val="24"/>
          <w:lang w:val="en-US"/>
        </w:rPr>
        <w:br/>
      </w:r>
    </w:p>
    <w:p w14:paraId="58650BF6" w14:textId="097AEC48" w:rsidR="00B00953" w:rsidRPr="004557ED" w:rsidRDefault="00FA1A14" w:rsidP="00504B17">
      <w:pPr>
        <w:spacing w:after="180" w:line="360" w:lineRule="auto"/>
        <w:rPr>
          <w:rFonts w:ascii="Cambria" w:hAnsi="Cambria"/>
          <w:lang w:val="en-US"/>
        </w:rPr>
      </w:pPr>
      <w:r>
        <w:rPr>
          <w:rFonts w:ascii="Cambria" w:hAnsi="Cambria"/>
          <w:lang w:val="en-US"/>
        </w:rPr>
        <w:t xml:space="preserve">Once again, Takstang’s point </w:t>
      </w:r>
      <w:r w:rsidR="00CC6E1C">
        <w:rPr>
          <w:rFonts w:ascii="Cambria" w:hAnsi="Cambria"/>
          <w:lang w:val="en-US"/>
        </w:rPr>
        <w:t xml:space="preserve">concerns the incompatibility of error with knowledge.  But here he draws he explicit conclusion that the very idea that there are epistemic warrants, and hence knowledge, from the perspective of Prāsaṅgika Madhyamaka, is inconsistent.  A Mādhyamika, he concludes, must foreswear the entire epistemic enterprise when </w:t>
      </w:r>
      <w:r w:rsidR="00EA0F84">
        <w:rPr>
          <w:rFonts w:ascii="Cambria" w:hAnsi="Cambria"/>
          <w:lang w:val="en-US"/>
        </w:rPr>
        <w:t>speaking as a Mādhyamika.</w:t>
      </w:r>
    </w:p>
    <w:p w14:paraId="557C83C5" w14:textId="43C5243F" w:rsidR="00F95A94" w:rsidRDefault="00090FF3" w:rsidP="00504B17">
      <w:pPr>
        <w:spacing w:after="180" w:line="360" w:lineRule="auto"/>
        <w:ind w:firstLine="720"/>
        <w:rPr>
          <w:rFonts w:ascii="Cambria" w:hAnsi="Cambria"/>
          <w:lang w:val="en-US"/>
        </w:rPr>
      </w:pPr>
      <w:r>
        <w:rPr>
          <w:rFonts w:ascii="Cambria" w:hAnsi="Cambria"/>
          <w:lang w:val="en-US"/>
        </w:rPr>
        <w:t>Taktsang’s critique presages European foundationalism in epistemology</w:t>
      </w:r>
      <w:r w:rsidR="008D3792">
        <w:rPr>
          <w:rFonts w:ascii="Cambria" w:hAnsi="Cambria"/>
          <w:lang w:val="en-US"/>
        </w:rPr>
        <w:t>: he, as would they, take knowledge to require foundations</w:t>
      </w:r>
      <w:r>
        <w:rPr>
          <w:rFonts w:ascii="Cambria" w:hAnsi="Cambria"/>
          <w:lang w:val="en-US"/>
        </w:rPr>
        <w:t xml:space="preserve">.  But whereas most epistemological foundationalists use </w:t>
      </w:r>
      <w:r>
        <w:rPr>
          <w:rFonts w:ascii="Cambria" w:hAnsi="Cambria"/>
          <w:i/>
          <w:lang w:val="en-US"/>
        </w:rPr>
        <w:t xml:space="preserve">modus ponens </w:t>
      </w:r>
      <w:r>
        <w:rPr>
          <w:rFonts w:ascii="Cambria" w:hAnsi="Cambria"/>
          <w:lang w:val="en-US"/>
        </w:rPr>
        <w:t xml:space="preserve">to </w:t>
      </w:r>
      <w:r w:rsidR="00850A98">
        <w:rPr>
          <w:rFonts w:ascii="Cambria" w:hAnsi="Cambria"/>
          <w:lang w:val="en-US"/>
        </w:rPr>
        <w:t xml:space="preserve">infer from the fact that we have </w:t>
      </w:r>
      <w:proofErr w:type="gramStart"/>
      <w:r w:rsidR="00850A98">
        <w:rPr>
          <w:rFonts w:ascii="Cambria" w:hAnsi="Cambria"/>
          <w:lang w:val="en-US"/>
        </w:rPr>
        <w:t>knowledge</w:t>
      </w:r>
      <w:proofErr w:type="gramEnd"/>
      <w:r w:rsidR="00850A98">
        <w:rPr>
          <w:rFonts w:ascii="Cambria" w:hAnsi="Cambria"/>
          <w:lang w:val="en-US"/>
        </w:rPr>
        <w:t xml:space="preserve"> and that knowledge requires foundations that there are foundations for knowledge. Taktsang uses </w:t>
      </w:r>
      <w:r w:rsidR="00850A98">
        <w:rPr>
          <w:rFonts w:ascii="Cambria" w:hAnsi="Cambria"/>
          <w:i/>
          <w:lang w:val="en-US"/>
        </w:rPr>
        <w:t xml:space="preserve">modus tollens </w:t>
      </w:r>
      <w:r w:rsidR="00850A98">
        <w:rPr>
          <w:rFonts w:ascii="Cambria" w:hAnsi="Cambria"/>
          <w:lang w:val="en-US"/>
        </w:rPr>
        <w:t xml:space="preserve">to infer from the fact that a Prāsaṅgika cannot countenance foundations and that knowledge requires foundations to the conclusion that a Prāsaṅgika must eschew any claims to knowledge.   The Geluk tradition, he effectively charges, is trying to graft a </w:t>
      </w:r>
      <w:r w:rsidR="00C40A3E">
        <w:rPr>
          <w:rFonts w:ascii="Cambria" w:hAnsi="Cambria"/>
          <w:lang w:val="en-US"/>
        </w:rPr>
        <w:t xml:space="preserve">necessarily </w:t>
      </w:r>
      <w:r w:rsidR="00850A98">
        <w:rPr>
          <w:rFonts w:ascii="Cambria" w:hAnsi="Cambria"/>
          <w:lang w:val="en-US"/>
        </w:rPr>
        <w:t xml:space="preserve">foundationalist epistemology onto an </w:t>
      </w:r>
      <w:r w:rsidR="00A717F6">
        <w:rPr>
          <w:rFonts w:ascii="Cambria" w:hAnsi="Cambria"/>
          <w:lang w:val="en-US"/>
        </w:rPr>
        <w:t xml:space="preserve">anti-foundationalist ontology.  </w:t>
      </w:r>
    </w:p>
    <w:p w14:paraId="67F90F86" w14:textId="0DC3153C" w:rsidR="00A717F6" w:rsidRDefault="00A717F6" w:rsidP="00504B17">
      <w:pPr>
        <w:spacing w:after="180" w:line="360" w:lineRule="auto"/>
        <w:ind w:firstLine="720"/>
        <w:rPr>
          <w:rFonts w:ascii="Cambria" w:hAnsi="Cambria"/>
          <w:lang w:val="en-US"/>
        </w:rPr>
      </w:pPr>
      <w:r>
        <w:rPr>
          <w:rFonts w:ascii="Cambria" w:hAnsi="Cambria"/>
          <w:lang w:val="en-US"/>
        </w:rPr>
        <w:t xml:space="preserve">Now, some nuance is required here to complete this picture. </w:t>
      </w:r>
      <w:r w:rsidR="00676605">
        <w:rPr>
          <w:rFonts w:ascii="Cambria" w:hAnsi="Cambria"/>
          <w:lang w:val="en-US"/>
        </w:rPr>
        <w:t>Taktsang distinguishes three contexts of analysis: the context of no analysis; that of slight analysis; and that of thorough analysis.  (</w:t>
      </w:r>
      <w:r w:rsidR="000D72C6">
        <w:rPr>
          <w:rFonts w:ascii="Cambria" w:hAnsi="Cambria"/>
          <w:lang w:val="en-US"/>
        </w:rPr>
        <w:t>Yakherds 2021</w:t>
      </w:r>
      <w:r w:rsidR="00676605">
        <w:rPr>
          <w:rFonts w:ascii="Cambria" w:hAnsi="Cambria"/>
          <w:lang w:val="en-US"/>
        </w:rPr>
        <w:t xml:space="preserve">, v. 2, pp. 58-59) The context of no analysis is that of the everyday world untutored by any philosophy, the world of the marketplace. In that context, </w:t>
      </w:r>
      <w:proofErr w:type="spellStart"/>
      <w:r w:rsidR="00676605">
        <w:rPr>
          <w:rFonts w:ascii="Cambria" w:hAnsi="Cambria"/>
          <w:lang w:val="en-US"/>
        </w:rPr>
        <w:t>Takstang</w:t>
      </w:r>
      <w:proofErr w:type="spellEnd"/>
      <w:r w:rsidR="00676605">
        <w:rPr>
          <w:rFonts w:ascii="Cambria" w:hAnsi="Cambria"/>
          <w:lang w:val="en-US"/>
        </w:rPr>
        <w:t xml:space="preserve">, says, we can talk any way we like, just so that </w:t>
      </w:r>
      <w:r w:rsidR="00FB2B16">
        <w:rPr>
          <w:rFonts w:ascii="Cambria" w:hAnsi="Cambria"/>
          <w:lang w:val="en-US"/>
        </w:rPr>
        <w:t>we accord with mundane conventions.  In that context we distinguish between what we know and what we don't know.  We do this all the time.  But, because in that context we do not analyze our concepts, we do not introduce ideas of epistemic warrant and do not engage in critical inquiry into what constitutes knowledge. In the context of slight analysis, we ask what the nature of things is, and we arrive at the Prās</w:t>
      </w:r>
      <w:r w:rsidR="0040031E">
        <w:rPr>
          <w:rFonts w:ascii="Cambria" w:hAnsi="Cambria"/>
          <w:lang w:val="en-US"/>
        </w:rPr>
        <w:t xml:space="preserve">aṅgika system. And as we have seen, </w:t>
      </w:r>
      <w:proofErr w:type="spellStart"/>
      <w:r w:rsidR="00150AB8">
        <w:rPr>
          <w:rFonts w:ascii="Cambria" w:hAnsi="Cambria"/>
          <w:lang w:val="en-US"/>
        </w:rPr>
        <w:t>Takstang</w:t>
      </w:r>
      <w:proofErr w:type="spellEnd"/>
      <w:r w:rsidR="00150AB8">
        <w:rPr>
          <w:rFonts w:ascii="Cambria" w:hAnsi="Cambria"/>
          <w:lang w:val="en-US"/>
        </w:rPr>
        <w:t xml:space="preserve"> takes that system to be inconsistent with any theory of </w:t>
      </w:r>
      <w:r w:rsidR="00150AB8">
        <w:rPr>
          <w:rFonts w:ascii="Cambria" w:hAnsi="Cambria"/>
          <w:i/>
          <w:lang w:val="en-US"/>
        </w:rPr>
        <w:t xml:space="preserve">pramāṇa. </w:t>
      </w:r>
      <w:r w:rsidR="00150AB8">
        <w:rPr>
          <w:rFonts w:ascii="Cambria" w:hAnsi="Cambria"/>
          <w:lang w:val="en-US"/>
        </w:rPr>
        <w:t xml:space="preserve">Finally, there is the context of complete analysis.  At that point we realize that reality is beyond description and </w:t>
      </w:r>
      <w:r w:rsidR="00150AB8">
        <w:rPr>
          <w:rFonts w:ascii="Cambria" w:hAnsi="Cambria"/>
          <w:lang w:val="en-US"/>
        </w:rPr>
        <w:lastRenderedPageBreak/>
        <w:t xml:space="preserve">conceptualization, and there is nothing at all that can be said.  In none of these contexts, Taktsang concludes, is there any place for epistemic warrant.  </w:t>
      </w:r>
    </w:p>
    <w:p w14:paraId="35A2A777" w14:textId="78955696" w:rsidR="00150AB8" w:rsidRPr="00150AB8" w:rsidRDefault="003A7FD8" w:rsidP="00504B17">
      <w:pPr>
        <w:spacing w:after="180" w:line="360" w:lineRule="auto"/>
        <w:ind w:firstLine="720"/>
        <w:rPr>
          <w:rFonts w:ascii="Cambria" w:hAnsi="Cambria"/>
          <w:lang w:val="en-US"/>
        </w:rPr>
      </w:pPr>
      <w:r>
        <w:rPr>
          <w:rFonts w:ascii="Cambria" w:hAnsi="Cambria"/>
          <w:lang w:val="en-US"/>
        </w:rPr>
        <w:t xml:space="preserve">This radical rejection of all claims to genuine knowledge by ordinary beings is bracing and attractive. </w:t>
      </w:r>
      <w:r w:rsidR="00970FEC">
        <w:rPr>
          <w:rFonts w:ascii="Cambria" w:hAnsi="Cambria"/>
          <w:lang w:val="en-US"/>
        </w:rPr>
        <w:t xml:space="preserve">It is attractive partly because it emphasizes the radical nature of the Prāsaṅgika philosophical stance, and because it appears to make good sense of Prāsaṅgika claims to have no views, to be </w:t>
      </w:r>
      <w:proofErr w:type="spellStart"/>
      <w:r w:rsidR="00970FEC">
        <w:rPr>
          <w:rFonts w:ascii="Cambria" w:hAnsi="Cambria"/>
          <w:lang w:val="en-US"/>
        </w:rPr>
        <w:t>positionless</w:t>
      </w:r>
      <w:proofErr w:type="spellEnd"/>
      <w:r w:rsidR="00970FEC">
        <w:rPr>
          <w:rFonts w:ascii="Cambria" w:hAnsi="Cambria"/>
          <w:lang w:val="en-US"/>
        </w:rPr>
        <w:t xml:space="preserve">, and only to refute the positions of others.  It also emphasizes the great epistemic gulf between beings subject to illusion and awakened </w:t>
      </w:r>
      <w:proofErr w:type="gramStart"/>
      <w:r w:rsidR="00970FEC">
        <w:rPr>
          <w:rFonts w:ascii="Cambria" w:hAnsi="Cambria"/>
          <w:lang w:val="en-US"/>
        </w:rPr>
        <w:t>buddhas, and</w:t>
      </w:r>
      <w:proofErr w:type="gramEnd"/>
      <w:r w:rsidR="00970FEC">
        <w:rPr>
          <w:rFonts w:ascii="Cambria" w:hAnsi="Cambria"/>
          <w:lang w:val="en-US"/>
        </w:rPr>
        <w:t xml:space="preserve"> reflects the intuition that being subject to massive error at all times should disqualify one as a genuine knower.  But Taktsang is hardly the last word in this long-running debate, and to defend the Geluk position, we now turn to a second figure on whom José Cabezón has done pioneering work, the first Panchen Lama, </w:t>
      </w:r>
      <w:proofErr w:type="spellStart"/>
      <w:r w:rsidR="00970FEC">
        <w:rPr>
          <w:rFonts w:ascii="Cambria" w:hAnsi="Cambria"/>
          <w:lang w:val="en-US"/>
        </w:rPr>
        <w:t>Losang</w:t>
      </w:r>
      <w:proofErr w:type="spellEnd"/>
      <w:r w:rsidR="00970FEC">
        <w:rPr>
          <w:rFonts w:ascii="Cambria" w:hAnsi="Cambria"/>
          <w:lang w:val="en-US"/>
        </w:rPr>
        <w:t xml:space="preserve"> Chökyi Gyaltsen. (1505-1566).</w:t>
      </w:r>
    </w:p>
    <w:p w14:paraId="70252360" w14:textId="4C6AAF6D" w:rsidR="00E95E25" w:rsidRPr="00F95A94" w:rsidRDefault="00F74F95" w:rsidP="008D3792">
      <w:pPr>
        <w:keepNext/>
        <w:spacing w:before="60"/>
        <w:rPr>
          <w:rFonts w:ascii="Cambria" w:hAnsi="Cambria"/>
          <w:b/>
          <w:lang w:val="en-US"/>
        </w:rPr>
      </w:pPr>
      <w:r>
        <w:rPr>
          <w:rFonts w:ascii="Cambria" w:hAnsi="Cambria"/>
          <w:b/>
          <w:lang w:val="en-US"/>
        </w:rPr>
        <w:t>3</w:t>
      </w:r>
      <w:r w:rsidR="00E95E25" w:rsidRPr="00F95A94">
        <w:rPr>
          <w:rFonts w:ascii="Cambria" w:hAnsi="Cambria"/>
          <w:b/>
          <w:lang w:val="en-US"/>
        </w:rPr>
        <w:t xml:space="preserve">. </w:t>
      </w:r>
      <w:r w:rsidR="00883A4B">
        <w:rPr>
          <w:rFonts w:ascii="Cambria" w:hAnsi="Cambria"/>
          <w:b/>
          <w:lang w:val="en-US"/>
        </w:rPr>
        <w:t xml:space="preserve"> </w:t>
      </w:r>
      <w:proofErr w:type="spellStart"/>
      <w:r w:rsidR="00E95E25" w:rsidRPr="00F95A94">
        <w:rPr>
          <w:rFonts w:ascii="Cambria" w:hAnsi="Cambria"/>
          <w:b/>
          <w:lang w:val="en-US"/>
        </w:rPr>
        <w:t>Losang</w:t>
      </w:r>
      <w:proofErr w:type="spellEnd"/>
      <w:r w:rsidR="00E95E25" w:rsidRPr="00F95A94">
        <w:rPr>
          <w:rFonts w:ascii="Cambria" w:hAnsi="Cambria"/>
          <w:b/>
          <w:lang w:val="en-US"/>
        </w:rPr>
        <w:t xml:space="preserve"> Chökyi Gyaltsen on What Warrants Warrant</w:t>
      </w:r>
    </w:p>
    <w:p w14:paraId="0E67CAB0" w14:textId="56303CF0" w:rsidR="00F95A94" w:rsidRDefault="00812C58" w:rsidP="00970FEC">
      <w:pPr>
        <w:spacing w:after="180" w:line="360" w:lineRule="auto"/>
        <w:rPr>
          <w:rFonts w:ascii="Cambria" w:hAnsi="Cambria"/>
          <w:lang w:val="en-US"/>
        </w:rPr>
      </w:pPr>
      <w:r>
        <w:rPr>
          <w:rFonts w:ascii="Cambria" w:hAnsi="Cambria"/>
          <w:lang w:val="en-US"/>
        </w:rPr>
        <w:t xml:space="preserve">In </w:t>
      </w:r>
      <w:r>
        <w:rPr>
          <w:rFonts w:ascii="Cambria" w:hAnsi="Cambria"/>
          <w:i/>
          <w:lang w:val="en-US"/>
        </w:rPr>
        <w:t>The Lion’s Roar of Scripture and Reasoning</w:t>
      </w:r>
      <w:r>
        <w:rPr>
          <w:rFonts w:ascii="Cambria" w:hAnsi="Cambria"/>
          <w:lang w:val="en-US"/>
        </w:rPr>
        <w:t xml:space="preserve"> (</w:t>
      </w:r>
      <w:r w:rsidR="000D72C6">
        <w:rPr>
          <w:rFonts w:ascii="Cambria" w:hAnsi="Cambria"/>
          <w:lang w:val="en-US"/>
        </w:rPr>
        <w:t>Yakherds 2021</w:t>
      </w:r>
      <w:r>
        <w:rPr>
          <w:rFonts w:ascii="Cambria" w:hAnsi="Cambria"/>
          <w:lang w:val="en-US"/>
        </w:rPr>
        <w:t xml:space="preserve">, vol. 2 pp 165-260), </w:t>
      </w:r>
      <w:proofErr w:type="spellStart"/>
      <w:r>
        <w:rPr>
          <w:rFonts w:ascii="Cambria" w:hAnsi="Cambria"/>
          <w:lang w:val="en-US"/>
        </w:rPr>
        <w:t>Losang</w:t>
      </w:r>
      <w:proofErr w:type="spellEnd"/>
      <w:r>
        <w:rPr>
          <w:rFonts w:ascii="Cambria" w:hAnsi="Cambria"/>
          <w:lang w:val="en-US"/>
        </w:rPr>
        <w:t xml:space="preserve"> Chökyi Gyaltsen addresses each of Taktsang’s critiques of Tsongkhapa’s and </w:t>
      </w:r>
      <w:proofErr w:type="spellStart"/>
      <w:r>
        <w:rPr>
          <w:rFonts w:ascii="Cambria" w:hAnsi="Cambria"/>
          <w:lang w:val="en-US"/>
        </w:rPr>
        <w:t>Khedrup-jé’s</w:t>
      </w:r>
      <w:proofErr w:type="spellEnd"/>
      <w:r>
        <w:rPr>
          <w:rFonts w:ascii="Cambria" w:hAnsi="Cambria"/>
          <w:lang w:val="en-US"/>
        </w:rPr>
        <w:t xml:space="preserve"> epistemology.  We will focus on the passages in which he responds to </w:t>
      </w:r>
      <w:r w:rsidR="00FA6BD2">
        <w:rPr>
          <w:rFonts w:ascii="Cambria" w:hAnsi="Cambria"/>
          <w:lang w:val="en-US"/>
        </w:rPr>
        <w:t xml:space="preserve">the charge of foundationalism and to the charge that knowledge makes no sense in the context of pervasive delusion and error. We will see that these responses encode </w:t>
      </w:r>
      <w:r w:rsidR="00C40A3E">
        <w:rPr>
          <w:rFonts w:ascii="Cambria" w:hAnsi="Cambria"/>
          <w:lang w:val="en-US"/>
        </w:rPr>
        <w:t xml:space="preserve">both </w:t>
      </w:r>
      <w:r w:rsidR="00FA6BD2">
        <w:rPr>
          <w:rFonts w:ascii="Cambria" w:hAnsi="Cambria"/>
          <w:lang w:val="en-US"/>
        </w:rPr>
        <w:t xml:space="preserve">the coherentism and faith in epistemic progress inaugurated by Candrakīrti and Tsongkhapa, anticipating the spirit of Otto </w:t>
      </w:r>
      <w:proofErr w:type="spellStart"/>
      <w:r w:rsidR="00FA6BD2">
        <w:rPr>
          <w:rFonts w:ascii="Cambria" w:hAnsi="Cambria"/>
          <w:lang w:val="en-US"/>
        </w:rPr>
        <w:t>Neurath</w:t>
      </w:r>
      <w:proofErr w:type="spellEnd"/>
      <w:r w:rsidR="00FA6BD2">
        <w:rPr>
          <w:rFonts w:ascii="Cambria" w:hAnsi="Cambria"/>
          <w:lang w:val="en-US"/>
        </w:rPr>
        <w:t>.</w:t>
      </w:r>
    </w:p>
    <w:p w14:paraId="6953259A" w14:textId="4E69ADC2" w:rsidR="00F95A94" w:rsidRDefault="00807FD2" w:rsidP="00F95A94">
      <w:pPr>
        <w:spacing w:after="180" w:line="360" w:lineRule="auto"/>
        <w:ind w:firstLine="720"/>
        <w:rPr>
          <w:rFonts w:ascii="Cambria" w:hAnsi="Cambria"/>
          <w:lang w:val="en-US"/>
        </w:rPr>
      </w:pPr>
      <w:r>
        <w:rPr>
          <w:rFonts w:ascii="Cambria" w:hAnsi="Cambria"/>
          <w:lang w:val="en-US"/>
        </w:rPr>
        <w:t>The Panchen Lama begins this discussion by summarizing Takstang’s charges under these heads:</w:t>
      </w:r>
    </w:p>
    <w:p w14:paraId="473BD487" w14:textId="4DCBB2BA" w:rsidR="00807FD2" w:rsidRDefault="00807FD2" w:rsidP="00807FD2">
      <w:pPr>
        <w:ind w:left="720" w:right="662"/>
        <w:rPr>
          <w:rFonts w:ascii="Cambria" w:hAnsi="Cambria"/>
          <w:lang w:val="en-US"/>
        </w:rPr>
      </w:pPr>
      <w:r>
        <w:rPr>
          <w:rFonts w:ascii="Cambria" w:hAnsi="Cambria"/>
          <w:lang w:val="en-US"/>
        </w:rPr>
        <w:t xml:space="preserve">You… say that Tsongkhapa asserts (1) that something like fire’s “burning function” is not a mere mental imputation; (2) that he believes that from a merely </w:t>
      </w:r>
      <w:r w:rsidR="00383B80">
        <w:rPr>
          <w:rFonts w:ascii="Cambria" w:hAnsi="Cambria"/>
          <w:lang w:val="en-US"/>
        </w:rPr>
        <w:t>conventional</w:t>
      </w:r>
      <w:r>
        <w:rPr>
          <w:rFonts w:ascii="Cambria" w:hAnsi="Cambria"/>
          <w:lang w:val="en-US"/>
        </w:rPr>
        <w:t xml:space="preserve"> </w:t>
      </w:r>
      <w:r w:rsidR="00383B80">
        <w:rPr>
          <w:rFonts w:ascii="Cambria" w:hAnsi="Cambria"/>
          <w:lang w:val="en-US"/>
        </w:rPr>
        <w:t>perspective</w:t>
      </w:r>
      <w:r>
        <w:rPr>
          <w:rFonts w:ascii="Cambria" w:hAnsi="Cambria"/>
          <w:lang w:val="en-US"/>
        </w:rPr>
        <w:t xml:space="preserve"> </w:t>
      </w:r>
      <w:r w:rsidR="00383B80">
        <w:rPr>
          <w:rFonts w:ascii="Cambria" w:hAnsi="Cambria"/>
          <w:lang w:val="en-US"/>
        </w:rPr>
        <w:t>the</w:t>
      </w:r>
      <w:r>
        <w:rPr>
          <w:rFonts w:ascii="Cambria" w:hAnsi="Cambria"/>
          <w:lang w:val="en-US"/>
        </w:rPr>
        <w:t xml:space="preserve"> quality of burning exists nondeceptively; (3) that this is necessary in order for each them—the fire an</w:t>
      </w:r>
      <w:r w:rsidR="00383B80">
        <w:rPr>
          <w:rFonts w:ascii="Cambria" w:hAnsi="Cambria"/>
          <w:lang w:val="en-US"/>
        </w:rPr>
        <w:t>d</w:t>
      </w:r>
      <w:r>
        <w:rPr>
          <w:rFonts w:ascii="Cambria" w:hAnsi="Cambria"/>
          <w:lang w:val="en-US"/>
        </w:rPr>
        <w:t xml:space="preserve"> its burning function—to </w:t>
      </w:r>
      <w:r w:rsidR="00383B80">
        <w:rPr>
          <w:rFonts w:ascii="Cambria" w:hAnsi="Cambria"/>
          <w:lang w:val="en-US"/>
        </w:rPr>
        <w:t>elicit</w:t>
      </w:r>
      <w:r>
        <w:rPr>
          <w:rFonts w:ascii="Cambria" w:hAnsi="Cambria"/>
          <w:lang w:val="en-US"/>
        </w:rPr>
        <w:t xml:space="preserve"> certainty </w:t>
      </w:r>
      <w:r w:rsidR="00383B80">
        <w:rPr>
          <w:rFonts w:ascii="Cambria" w:hAnsi="Cambria"/>
          <w:lang w:val="en-US"/>
        </w:rPr>
        <w:t>about</w:t>
      </w:r>
      <w:r>
        <w:rPr>
          <w:rFonts w:ascii="Cambria" w:hAnsi="Cambria"/>
          <w:lang w:val="en-US"/>
        </w:rPr>
        <w:t xml:space="preserve"> </w:t>
      </w:r>
      <w:r w:rsidR="00383B80">
        <w:rPr>
          <w:rFonts w:ascii="Cambria" w:hAnsi="Cambria"/>
          <w:lang w:val="en-US"/>
        </w:rPr>
        <w:t>the</w:t>
      </w:r>
      <w:r>
        <w:rPr>
          <w:rFonts w:ascii="Cambria" w:hAnsi="Cambria"/>
          <w:lang w:val="en-US"/>
        </w:rPr>
        <w:t xml:space="preserve"> other; and (4) that if the function were </w:t>
      </w:r>
      <w:r w:rsidR="00383B80">
        <w:rPr>
          <w:rFonts w:ascii="Cambria" w:hAnsi="Cambria"/>
          <w:lang w:val="en-US"/>
        </w:rPr>
        <w:t>accepted</w:t>
      </w:r>
      <w:r>
        <w:rPr>
          <w:rFonts w:ascii="Cambria" w:hAnsi="Cambria"/>
          <w:lang w:val="en-US"/>
        </w:rPr>
        <w:t xml:space="preserve"> only from an erroneous perspective, there could be no epistemic confidence…  </w:t>
      </w:r>
      <w:r w:rsidR="00383B80">
        <w:rPr>
          <w:rFonts w:ascii="Cambria" w:hAnsi="Cambria"/>
          <w:lang w:val="en-US"/>
        </w:rPr>
        <w:t xml:space="preserve">and that this is the chief contradiction in his system.  This is because in the great Madhyamaka there is no essence to be negated other than the fact that things function objectively and foundationally. You might </w:t>
      </w:r>
      <w:r w:rsidR="00730B14">
        <w:rPr>
          <w:rFonts w:ascii="Cambria" w:hAnsi="Cambria"/>
          <w:lang w:val="en-US"/>
        </w:rPr>
        <w:t>s</w:t>
      </w:r>
      <w:r w:rsidR="00383B80">
        <w:rPr>
          <w:rFonts w:ascii="Cambria" w:hAnsi="Cambria"/>
          <w:lang w:val="en-US"/>
        </w:rPr>
        <w:t xml:space="preserve">ay that Tsongkhapa would reply that he does not advocate foundationalism. But if something is not foundational, it contradicts the fact that it is </w:t>
      </w:r>
      <w:r w:rsidR="00383B80">
        <w:rPr>
          <w:rFonts w:ascii="Cambria" w:hAnsi="Cambria"/>
          <w:lang w:val="en-US"/>
        </w:rPr>
        <w:lastRenderedPageBreak/>
        <w:t>epistemically warranted and that means nothing more than being foundational. (</w:t>
      </w:r>
      <w:r w:rsidR="000D72C6">
        <w:rPr>
          <w:rFonts w:ascii="Cambria" w:hAnsi="Cambria"/>
          <w:lang w:val="en-US"/>
        </w:rPr>
        <w:t>Yakherds 2021</w:t>
      </w:r>
      <w:r w:rsidR="00383B80">
        <w:rPr>
          <w:rFonts w:ascii="Cambria" w:hAnsi="Cambria"/>
          <w:lang w:val="en-US"/>
        </w:rPr>
        <w:t>, v. 2 pp. 186-187)</w:t>
      </w:r>
    </w:p>
    <w:p w14:paraId="5BCB0180" w14:textId="77777777" w:rsidR="00E95E25" w:rsidRDefault="00E95E25" w:rsidP="00E95E25">
      <w:pPr>
        <w:rPr>
          <w:rFonts w:ascii="Cambria" w:hAnsi="Cambria"/>
          <w:lang w:val="en-US"/>
        </w:rPr>
      </w:pPr>
    </w:p>
    <w:p w14:paraId="6943FE4F" w14:textId="74F39863" w:rsidR="00E95E25" w:rsidRDefault="00730B14" w:rsidP="00383B80">
      <w:pPr>
        <w:spacing w:after="180" w:line="360" w:lineRule="auto"/>
        <w:rPr>
          <w:rFonts w:ascii="Cambria" w:hAnsi="Cambria"/>
          <w:lang w:val="en-US"/>
        </w:rPr>
      </w:pPr>
      <w:r>
        <w:rPr>
          <w:rFonts w:ascii="Cambria" w:hAnsi="Cambria"/>
          <w:lang w:val="en-US"/>
        </w:rPr>
        <w:t xml:space="preserve">The Panchen Lama gets Taktsang right here. Tsongkhapa and his followers </w:t>
      </w:r>
      <w:r w:rsidR="0033034D">
        <w:rPr>
          <w:rFonts w:ascii="Cambria" w:hAnsi="Cambria"/>
          <w:lang w:val="en-US"/>
        </w:rPr>
        <w:t xml:space="preserve">do accept that merely conventional phenomena can serve as epistemic warrants for one another, and that error can undermine warrant. And they do accept epistemic warrant while rejecting foundationalism.   And we have seen why </w:t>
      </w:r>
      <w:proofErr w:type="spellStart"/>
      <w:r w:rsidR="0033034D">
        <w:rPr>
          <w:rFonts w:ascii="Cambria" w:hAnsi="Cambria"/>
          <w:lang w:val="en-US"/>
        </w:rPr>
        <w:t>Takstang</w:t>
      </w:r>
      <w:proofErr w:type="spellEnd"/>
      <w:r w:rsidR="0033034D">
        <w:rPr>
          <w:rFonts w:ascii="Cambria" w:hAnsi="Cambria"/>
          <w:lang w:val="en-US"/>
        </w:rPr>
        <w:t xml:space="preserve"> thinks that these are each problematic positions. </w:t>
      </w:r>
    </w:p>
    <w:p w14:paraId="402A01BB" w14:textId="1D502E92" w:rsidR="006A18EA" w:rsidRDefault="006A18EA" w:rsidP="006A18EA">
      <w:pPr>
        <w:spacing w:after="180" w:line="360" w:lineRule="auto"/>
        <w:ind w:firstLine="720"/>
        <w:rPr>
          <w:rFonts w:ascii="Cambria" w:hAnsi="Cambria"/>
          <w:lang w:val="en-US"/>
        </w:rPr>
      </w:pPr>
      <w:r>
        <w:rPr>
          <w:rFonts w:ascii="Cambria" w:hAnsi="Cambria"/>
          <w:lang w:val="en-US"/>
        </w:rPr>
        <w:t xml:space="preserve">The Panchen </w:t>
      </w:r>
      <w:r w:rsidR="00C40A3E">
        <w:rPr>
          <w:rFonts w:ascii="Cambria" w:hAnsi="Cambria"/>
          <w:lang w:val="en-US"/>
        </w:rPr>
        <w:t>L</w:t>
      </w:r>
      <w:r>
        <w:rPr>
          <w:rFonts w:ascii="Cambria" w:hAnsi="Cambria"/>
          <w:lang w:val="en-US"/>
        </w:rPr>
        <w:t xml:space="preserve">ama first addresses the issue of foundationalism.  He writes, “If ‘nondeceptive’ means </w:t>
      </w:r>
      <w:r>
        <w:rPr>
          <w:rFonts w:ascii="Cambria" w:hAnsi="Cambria"/>
          <w:i/>
          <w:lang w:val="en-US"/>
        </w:rPr>
        <w:t>foundational,</w:t>
      </w:r>
      <w:r>
        <w:rPr>
          <w:rFonts w:ascii="Cambria" w:hAnsi="Cambria"/>
          <w:lang w:val="en-US"/>
        </w:rPr>
        <w:t xml:space="preserve"> then you must be claiming that nirvana is foundational, able to withstand analysis, and independent.” (</w:t>
      </w:r>
      <w:r>
        <w:rPr>
          <w:rFonts w:ascii="Cambria" w:hAnsi="Cambria"/>
          <w:i/>
          <w:lang w:val="en-US"/>
        </w:rPr>
        <w:t xml:space="preserve">Ibid., </w:t>
      </w:r>
      <w:r>
        <w:rPr>
          <w:rFonts w:ascii="Cambria" w:hAnsi="Cambria"/>
          <w:lang w:val="en-US"/>
        </w:rPr>
        <w:t>p. 188</w:t>
      </w:r>
      <w:proofErr w:type="gramStart"/>
      <w:r>
        <w:rPr>
          <w:rFonts w:ascii="Cambria" w:hAnsi="Cambria"/>
          <w:lang w:val="en-US"/>
        </w:rPr>
        <w:t xml:space="preserve">)  </w:t>
      </w:r>
      <w:r w:rsidR="00DC07B7">
        <w:rPr>
          <w:rFonts w:ascii="Cambria" w:hAnsi="Cambria"/>
          <w:lang w:val="en-US"/>
        </w:rPr>
        <w:t>This</w:t>
      </w:r>
      <w:proofErr w:type="gramEnd"/>
      <w:r w:rsidR="00DC07B7">
        <w:rPr>
          <w:rFonts w:ascii="Cambria" w:hAnsi="Cambria"/>
          <w:lang w:val="en-US"/>
        </w:rPr>
        <w:t xml:space="preserve"> argument is a bit telegraphic, but we can easily parse it. No Mādhyamika accepts that any phenomenon</w:t>
      </w:r>
      <w:r w:rsidR="00C40A3E">
        <w:rPr>
          <w:rFonts w:ascii="Cambria" w:hAnsi="Cambria"/>
          <w:lang w:val="en-US"/>
        </w:rPr>
        <w:t>—including nirvana—</w:t>
      </w:r>
      <w:r w:rsidR="00DC07B7">
        <w:rPr>
          <w:rFonts w:ascii="Cambria" w:hAnsi="Cambria"/>
          <w:lang w:val="en-US"/>
        </w:rPr>
        <w:t xml:space="preserve"> is independent, and able to withstand analysis—that is, foundational.  But </w:t>
      </w:r>
      <w:r w:rsidR="00DC07B7">
        <w:rPr>
          <w:rFonts w:ascii="Cambria" w:hAnsi="Cambria"/>
          <w:i/>
          <w:lang w:val="en-US"/>
        </w:rPr>
        <w:t xml:space="preserve">every </w:t>
      </w:r>
      <w:r w:rsidR="00DC07B7">
        <w:rPr>
          <w:rFonts w:ascii="Cambria" w:hAnsi="Cambria"/>
          <w:lang w:val="en-US"/>
        </w:rPr>
        <w:t xml:space="preserve">Buddhist accepts that nirvana is nondeceptive—that to attain nirvana is to know that one has done so.  It follows, argues the Panchen lama, that being nondeceptive does </w:t>
      </w:r>
      <w:r w:rsidR="00DC07B7">
        <w:rPr>
          <w:rFonts w:ascii="Cambria" w:hAnsi="Cambria"/>
          <w:i/>
          <w:lang w:val="en-US"/>
        </w:rPr>
        <w:t xml:space="preserve">not </w:t>
      </w:r>
      <w:r w:rsidR="00DC07B7">
        <w:rPr>
          <w:rFonts w:ascii="Cambria" w:hAnsi="Cambria"/>
          <w:lang w:val="en-US"/>
        </w:rPr>
        <w:t xml:space="preserve">entail being foundational, and so that a commitment to nondeceptive </w:t>
      </w:r>
      <w:r w:rsidR="00623B30">
        <w:rPr>
          <w:rFonts w:ascii="Cambria" w:hAnsi="Cambria"/>
          <w:lang w:val="en-US"/>
        </w:rPr>
        <w:t>epistemic warrants is not a commitment to epistemic foundations.</w:t>
      </w:r>
    </w:p>
    <w:p w14:paraId="210C6D00" w14:textId="1F300161" w:rsidR="00623B30" w:rsidRDefault="00623B30" w:rsidP="006A18EA">
      <w:pPr>
        <w:spacing w:after="180" w:line="360" w:lineRule="auto"/>
        <w:ind w:firstLine="720"/>
        <w:rPr>
          <w:rFonts w:ascii="Cambria" w:hAnsi="Cambria"/>
          <w:lang w:val="en-US"/>
        </w:rPr>
      </w:pPr>
      <w:r>
        <w:rPr>
          <w:rFonts w:ascii="Cambria" w:hAnsi="Cambria"/>
          <w:lang w:val="en-US"/>
        </w:rPr>
        <w:t>A bit later, he addresses the question of warrant in the context of massive error.  He writes:</w:t>
      </w:r>
    </w:p>
    <w:p w14:paraId="0FB19C91" w14:textId="0AFBD1AA" w:rsidR="00623B30" w:rsidRDefault="00623B30" w:rsidP="00623B30">
      <w:pPr>
        <w:ind w:left="720" w:right="662"/>
        <w:rPr>
          <w:rFonts w:ascii="Cambria" w:hAnsi="Cambria"/>
          <w:lang w:val="en-US"/>
        </w:rPr>
      </w:pPr>
      <w:r>
        <w:rPr>
          <w:rFonts w:ascii="Cambria" w:hAnsi="Cambria"/>
          <w:lang w:val="en-US"/>
        </w:rPr>
        <w:t xml:space="preserve">We do not accept your charge [that an erroneous cognition cannot serve as an epistemic warrant] because in the Prāsaṅgika Madhyamaka system no ordinary being has a nonerroneous visual </w:t>
      </w:r>
      <w:r w:rsidR="004D7F26">
        <w:rPr>
          <w:rFonts w:ascii="Cambria" w:hAnsi="Cambria"/>
          <w:lang w:val="en-US"/>
        </w:rPr>
        <w:t>consciousness….</w:t>
      </w:r>
    </w:p>
    <w:p w14:paraId="49670FCD" w14:textId="11D5F881" w:rsidR="004D7F26" w:rsidRDefault="004D7F26" w:rsidP="00623B30">
      <w:pPr>
        <w:ind w:left="720" w:right="662"/>
        <w:rPr>
          <w:rFonts w:ascii="Cambria" w:hAnsi="Cambria"/>
          <w:lang w:val="en-US"/>
        </w:rPr>
      </w:pPr>
    </w:p>
    <w:p w14:paraId="58AB15D9" w14:textId="48DD77E5" w:rsidR="004D7F26" w:rsidRDefault="004D7F26" w:rsidP="00623B30">
      <w:pPr>
        <w:ind w:left="720" w:right="662"/>
        <w:rPr>
          <w:rFonts w:ascii="Cambria" w:hAnsi="Cambria"/>
          <w:lang w:val="en-US"/>
        </w:rPr>
      </w:pPr>
      <w:r>
        <w:rPr>
          <w:rFonts w:ascii="Cambria" w:hAnsi="Cambria"/>
          <w:lang w:val="en-US"/>
        </w:rPr>
        <w:t xml:space="preserve">Material </w:t>
      </w:r>
      <w:proofErr w:type="spellStart"/>
      <w:r>
        <w:rPr>
          <w:rFonts w:ascii="Cambria" w:hAnsi="Cambria"/>
          <w:lang w:val="en-US"/>
        </w:rPr>
        <w:t>form</w:t>
      </w:r>
      <w:proofErr w:type="spellEnd"/>
      <w:r>
        <w:rPr>
          <w:rFonts w:ascii="Cambria" w:hAnsi="Cambria"/>
          <w:lang w:val="en-US"/>
        </w:rPr>
        <w:t xml:space="preserve"> appear as material form to the visual consciousness that perceives material form; it also appears as existing essentially. Nonetheless, while that consciousness knows form to be form, it does not know form to exist essentially. The visual consciousness that apprehends material form is epistemically reliable </w:t>
      </w:r>
      <w:proofErr w:type="gramStart"/>
      <w:r>
        <w:rPr>
          <w:rFonts w:ascii="Cambria" w:hAnsi="Cambria"/>
          <w:lang w:val="en-US"/>
        </w:rPr>
        <w:t>with regard to</w:t>
      </w:r>
      <w:proofErr w:type="gramEnd"/>
      <w:r>
        <w:rPr>
          <w:rFonts w:ascii="Cambria" w:hAnsi="Cambria"/>
          <w:lang w:val="en-US"/>
        </w:rPr>
        <w:t xml:space="preserve"> (a) form, (b) the appearance of form, and (c) the </w:t>
      </w:r>
      <w:r>
        <w:rPr>
          <w:rFonts w:ascii="Cambria" w:hAnsi="Cambria"/>
          <w:i/>
          <w:lang w:val="en-US"/>
        </w:rPr>
        <w:t xml:space="preserve">appearance </w:t>
      </w:r>
      <w:r>
        <w:rPr>
          <w:rFonts w:ascii="Cambria" w:hAnsi="Cambria"/>
          <w:lang w:val="en-US"/>
        </w:rPr>
        <w:t xml:space="preserve">of form’s existing essentially; but it is </w:t>
      </w:r>
      <w:r>
        <w:rPr>
          <w:rFonts w:ascii="Cambria" w:hAnsi="Cambria"/>
          <w:i/>
          <w:lang w:val="en-US"/>
        </w:rPr>
        <w:t xml:space="preserve">not </w:t>
      </w:r>
      <w:r>
        <w:rPr>
          <w:rFonts w:ascii="Cambria" w:hAnsi="Cambria"/>
          <w:lang w:val="en-US"/>
        </w:rPr>
        <w:t xml:space="preserve">epistemically warranting in regard to (d) </w:t>
      </w:r>
      <w:r w:rsidR="00860EE2">
        <w:rPr>
          <w:rFonts w:ascii="Cambria" w:hAnsi="Cambria"/>
          <w:lang w:val="en-US"/>
        </w:rPr>
        <w:t xml:space="preserve">form’s existing essentially.  Therefore, even though an ordinary visual consciousness apprehending form is an erroneous consciousness, this does not contradict its being epistemically warranting </w:t>
      </w:r>
      <w:proofErr w:type="gramStart"/>
      <w:r w:rsidR="00860EE2">
        <w:rPr>
          <w:rFonts w:ascii="Cambria" w:hAnsi="Cambria"/>
          <w:lang w:val="en-US"/>
        </w:rPr>
        <w:t>with regard to</w:t>
      </w:r>
      <w:proofErr w:type="gramEnd"/>
      <w:r w:rsidR="00860EE2">
        <w:rPr>
          <w:rFonts w:ascii="Cambria" w:hAnsi="Cambria"/>
          <w:lang w:val="en-US"/>
        </w:rPr>
        <w:t xml:space="preserve"> form. </w:t>
      </w:r>
    </w:p>
    <w:p w14:paraId="01568EDF" w14:textId="0A218616" w:rsidR="00860EE2" w:rsidRDefault="00860EE2" w:rsidP="00623B30">
      <w:pPr>
        <w:ind w:left="720" w:right="662"/>
        <w:rPr>
          <w:rFonts w:ascii="Cambria" w:hAnsi="Cambria"/>
          <w:lang w:val="en-US"/>
        </w:rPr>
      </w:pPr>
      <w:r>
        <w:rPr>
          <w:rFonts w:ascii="Cambria" w:hAnsi="Cambria"/>
          <w:lang w:val="en-US"/>
        </w:rPr>
        <w:t>…</w:t>
      </w:r>
    </w:p>
    <w:p w14:paraId="1F50E16F" w14:textId="11F97B50" w:rsidR="00860EE2" w:rsidRDefault="00860EE2" w:rsidP="00623B30">
      <w:pPr>
        <w:ind w:left="720" w:right="662"/>
        <w:rPr>
          <w:rFonts w:ascii="Cambria" w:hAnsi="Cambria"/>
          <w:lang w:val="en-US"/>
        </w:rPr>
      </w:pPr>
      <w:r>
        <w:rPr>
          <w:rFonts w:ascii="Cambria" w:hAnsi="Cambria"/>
          <w:lang w:val="en-US"/>
        </w:rPr>
        <w:t xml:space="preserve">That is, even though the sensory consciousnesses of ordinary beings are erroneous consciousnesses, they </w:t>
      </w:r>
      <w:proofErr w:type="gramStart"/>
      <w:r>
        <w:rPr>
          <w:rFonts w:ascii="Cambria" w:hAnsi="Cambria"/>
          <w:lang w:val="en-US"/>
        </w:rPr>
        <w:t>have the ability to</w:t>
      </w:r>
      <w:proofErr w:type="gramEnd"/>
      <w:r>
        <w:rPr>
          <w:rFonts w:ascii="Cambria" w:hAnsi="Cambria"/>
          <w:lang w:val="en-US"/>
        </w:rPr>
        <w:t xml:space="preserve"> perform functions….  For </w:t>
      </w:r>
      <w:r>
        <w:rPr>
          <w:rFonts w:ascii="Cambria" w:hAnsi="Cambria"/>
          <w:lang w:val="en-US"/>
        </w:rPr>
        <w:lastRenderedPageBreak/>
        <w:t xml:space="preserve">example, even though in the world all grains are similar, there is a great difference in quality </w:t>
      </w:r>
      <w:r w:rsidR="00293C01">
        <w:rPr>
          <w:rFonts w:ascii="Cambria" w:hAnsi="Cambria"/>
          <w:lang w:val="en-US"/>
        </w:rPr>
        <w:t>between barley</w:t>
      </w:r>
      <w:r>
        <w:rPr>
          <w:rFonts w:ascii="Cambria" w:hAnsi="Cambria"/>
          <w:lang w:val="en-US"/>
        </w:rPr>
        <w:t>, rice, wheat, pulses, and so forth. And even though gold and silver are similar in that they are both precious metals, there are great differences between [</w:t>
      </w:r>
      <w:r>
        <w:rPr>
          <w:rFonts w:ascii="Cambria" w:hAnsi="Cambria"/>
          <w:i/>
          <w:lang w:val="en-US"/>
        </w:rPr>
        <w:t xml:space="preserve">Ibid., </w:t>
      </w:r>
      <w:r>
        <w:rPr>
          <w:rFonts w:ascii="Cambria" w:hAnsi="Cambria"/>
          <w:lang w:val="en-US"/>
        </w:rPr>
        <w:t>pp. 200-201]</w:t>
      </w:r>
    </w:p>
    <w:p w14:paraId="5BD5A287" w14:textId="2DC8FC98" w:rsidR="00860EE2" w:rsidRDefault="00860EE2" w:rsidP="00623B30">
      <w:pPr>
        <w:ind w:left="720" w:right="662"/>
        <w:rPr>
          <w:rFonts w:ascii="Cambria" w:hAnsi="Cambria"/>
          <w:lang w:val="en-US"/>
        </w:rPr>
      </w:pPr>
    </w:p>
    <w:p w14:paraId="128F2E1C" w14:textId="3196BEB4" w:rsidR="00860EE2" w:rsidRDefault="00837816" w:rsidP="00860EE2">
      <w:pPr>
        <w:spacing w:after="180" w:line="360" w:lineRule="auto"/>
        <w:rPr>
          <w:rFonts w:ascii="Cambria" w:hAnsi="Cambria"/>
          <w:iCs/>
          <w:lang w:val="en-US"/>
        </w:rPr>
      </w:pPr>
      <w:r>
        <w:rPr>
          <w:rFonts w:ascii="Cambria" w:hAnsi="Cambria"/>
          <w:iCs/>
          <w:lang w:val="en-US"/>
        </w:rPr>
        <w:t xml:space="preserve">I quote these passages at length because they show so clearly </w:t>
      </w:r>
      <w:r w:rsidR="002C6CBA">
        <w:rPr>
          <w:rFonts w:ascii="Cambria" w:hAnsi="Cambria"/>
          <w:iCs/>
          <w:lang w:val="en-US"/>
        </w:rPr>
        <w:t xml:space="preserve">how the Panchen Lama </w:t>
      </w:r>
      <w:r w:rsidR="002119D2">
        <w:rPr>
          <w:rFonts w:ascii="Cambria" w:hAnsi="Cambria"/>
          <w:iCs/>
          <w:lang w:val="en-US"/>
        </w:rPr>
        <w:t xml:space="preserve">demonstrates that warrant reflects not complete freedom from error, but rather epistemic functionality, reliability, and the ability to deliver </w:t>
      </w:r>
      <w:r w:rsidR="002119D2">
        <w:rPr>
          <w:rFonts w:ascii="Cambria" w:hAnsi="Cambria"/>
          <w:i/>
          <w:iCs/>
          <w:lang w:val="en-US"/>
        </w:rPr>
        <w:t xml:space="preserve">some </w:t>
      </w:r>
      <w:r w:rsidR="002119D2">
        <w:rPr>
          <w:rFonts w:ascii="Cambria" w:hAnsi="Cambria"/>
          <w:iCs/>
          <w:lang w:val="en-US"/>
        </w:rPr>
        <w:t xml:space="preserve">correct information even if not </w:t>
      </w:r>
      <w:r w:rsidR="002119D2">
        <w:rPr>
          <w:rFonts w:ascii="Cambria" w:hAnsi="Cambria"/>
          <w:i/>
          <w:iCs/>
          <w:lang w:val="en-US"/>
        </w:rPr>
        <w:t xml:space="preserve">all </w:t>
      </w:r>
      <w:r w:rsidR="002119D2">
        <w:rPr>
          <w:rFonts w:ascii="Cambria" w:hAnsi="Cambria"/>
          <w:iCs/>
          <w:lang w:val="en-US"/>
        </w:rPr>
        <w:t xml:space="preserve">correct information. This understanding weaves together Candrakīrti’s commitment to the </w:t>
      </w:r>
      <w:r w:rsidR="00E74D4C">
        <w:rPr>
          <w:rFonts w:ascii="Cambria" w:hAnsi="Cambria"/>
          <w:iCs/>
          <w:lang w:val="en-US"/>
        </w:rPr>
        <w:t>importance of mundane practices, Dharmakīrti’s pragmatism (Powers 1994) in his understanding of epistemic warrant</w:t>
      </w:r>
      <w:r w:rsidR="00C40A3E">
        <w:rPr>
          <w:rFonts w:ascii="Cambria" w:hAnsi="Cambria"/>
          <w:iCs/>
          <w:lang w:val="en-US"/>
        </w:rPr>
        <w:t xml:space="preserve"> in terms of its success in enabling practical </w:t>
      </w:r>
      <w:proofErr w:type="spellStart"/>
      <w:r w:rsidR="00C40A3E">
        <w:rPr>
          <w:rFonts w:ascii="Cambria" w:hAnsi="Cambria"/>
          <w:iCs/>
          <w:lang w:val="en-US"/>
        </w:rPr>
        <w:t>activites</w:t>
      </w:r>
      <w:proofErr w:type="spellEnd"/>
      <w:r w:rsidR="00293C01">
        <w:rPr>
          <w:rFonts w:ascii="Cambria" w:hAnsi="Cambria"/>
          <w:iCs/>
          <w:lang w:val="en-US"/>
        </w:rPr>
        <w:t xml:space="preserve">, and Tsongkhapa’s subtle distinctions between the various aspects of veridicality to which we must attend </w:t>
      </w:r>
      <w:proofErr w:type="gramStart"/>
      <w:r w:rsidR="00293C01">
        <w:rPr>
          <w:rFonts w:ascii="Cambria" w:hAnsi="Cambria"/>
          <w:iCs/>
          <w:lang w:val="en-US"/>
        </w:rPr>
        <w:t>in order to</w:t>
      </w:r>
      <w:proofErr w:type="gramEnd"/>
      <w:r w:rsidR="00293C01">
        <w:rPr>
          <w:rFonts w:ascii="Cambria" w:hAnsi="Cambria"/>
          <w:iCs/>
          <w:lang w:val="en-US"/>
        </w:rPr>
        <w:t xml:space="preserve"> understand epistemic warrant.</w:t>
      </w:r>
    </w:p>
    <w:p w14:paraId="0FC91549" w14:textId="5B7555A4" w:rsidR="00293C01" w:rsidRDefault="00293C01" w:rsidP="00293C01">
      <w:pPr>
        <w:spacing w:after="180" w:line="360" w:lineRule="auto"/>
        <w:ind w:firstLine="720"/>
        <w:rPr>
          <w:rFonts w:ascii="Cambria" w:hAnsi="Cambria"/>
          <w:iCs/>
          <w:lang w:val="en-US"/>
        </w:rPr>
      </w:pPr>
      <w:r>
        <w:rPr>
          <w:rFonts w:ascii="Cambria" w:hAnsi="Cambria"/>
          <w:iCs/>
          <w:lang w:val="en-US"/>
        </w:rPr>
        <w:t xml:space="preserve">We </w:t>
      </w:r>
      <w:r w:rsidRPr="00003536">
        <w:rPr>
          <w:rFonts w:ascii="Cambria" w:hAnsi="Cambria"/>
          <w:i/>
          <w:iCs/>
          <w:lang w:val="en-US"/>
        </w:rPr>
        <w:t>do</w:t>
      </w:r>
      <w:r>
        <w:rPr>
          <w:rFonts w:ascii="Cambria" w:hAnsi="Cambria"/>
          <w:iCs/>
          <w:lang w:val="en-US"/>
        </w:rPr>
        <w:t xml:space="preserve"> tell barley from rice, silver from gold, and we do it reliably. </w:t>
      </w:r>
      <w:r w:rsidR="009A16DF">
        <w:rPr>
          <w:rFonts w:ascii="Cambria" w:hAnsi="Cambria"/>
          <w:iCs/>
          <w:lang w:val="en-US"/>
        </w:rPr>
        <w:t xml:space="preserve">And we do so </w:t>
      </w:r>
      <w:proofErr w:type="gramStart"/>
      <w:r w:rsidR="009A16DF">
        <w:rPr>
          <w:rFonts w:ascii="Cambria" w:hAnsi="Cambria"/>
          <w:iCs/>
          <w:lang w:val="en-US"/>
        </w:rPr>
        <w:t>despite the fact that</w:t>
      </w:r>
      <w:proofErr w:type="gramEnd"/>
      <w:r w:rsidR="009A16DF">
        <w:rPr>
          <w:rFonts w:ascii="Cambria" w:hAnsi="Cambria"/>
          <w:iCs/>
          <w:lang w:val="en-US"/>
        </w:rPr>
        <w:t xml:space="preserve"> we might be wrong, say, about the atomic number of each of these metals, or about the genetic sequences of the respective cereal grains.  And some of us do this knowledgeably and some less so.  We do so not by analyzing their essences, but by relying on our background knowledge and standard, commonly accepted criteria. That is what </w:t>
      </w:r>
      <w:r w:rsidR="009A16DF">
        <w:rPr>
          <w:rFonts w:ascii="Cambria" w:hAnsi="Cambria"/>
          <w:i/>
          <w:iCs/>
          <w:lang w:val="en-US"/>
        </w:rPr>
        <w:t xml:space="preserve">knowledge </w:t>
      </w:r>
      <w:r w:rsidR="009A16DF">
        <w:rPr>
          <w:rFonts w:ascii="Cambria" w:hAnsi="Cambria"/>
          <w:iCs/>
          <w:lang w:val="en-US"/>
        </w:rPr>
        <w:t>means in the workaday world, the only world in which it makes sense.  The fact that these practi</w:t>
      </w:r>
      <w:r w:rsidR="00003536">
        <w:rPr>
          <w:rFonts w:ascii="Cambria" w:hAnsi="Cambria"/>
          <w:iCs/>
          <w:lang w:val="en-US"/>
        </w:rPr>
        <w:t xml:space="preserve">ces work, and support each other mutually, is what vindicates them, and what leads us to take them as </w:t>
      </w:r>
      <w:r w:rsidR="00003536">
        <w:rPr>
          <w:rFonts w:ascii="Cambria" w:hAnsi="Cambria"/>
          <w:i/>
          <w:iCs/>
          <w:lang w:val="en-US"/>
        </w:rPr>
        <w:t>pramāṇas.</w:t>
      </w:r>
      <w:r w:rsidR="00003536">
        <w:rPr>
          <w:rFonts w:ascii="Cambria" w:hAnsi="Cambria"/>
          <w:iCs/>
          <w:lang w:val="en-US"/>
        </w:rPr>
        <w:t xml:space="preserve"> And, as the Panchen </w:t>
      </w:r>
      <w:r w:rsidR="00C40A3E">
        <w:rPr>
          <w:rFonts w:ascii="Cambria" w:hAnsi="Cambria"/>
          <w:iCs/>
          <w:lang w:val="en-US"/>
        </w:rPr>
        <w:t>L</w:t>
      </w:r>
      <w:r w:rsidR="00003536">
        <w:rPr>
          <w:rFonts w:ascii="Cambria" w:hAnsi="Cambria"/>
          <w:iCs/>
          <w:lang w:val="en-US"/>
        </w:rPr>
        <w:t xml:space="preserve">ama emphasizes, they can be veridical with respect to some aspects of their objects, but not with respect to others. To be reliable, to be epistemically efficacious, and to be a warrant for one property or aspect of a thing do not require being so for all aspects. </w:t>
      </w:r>
      <w:r w:rsidR="00A66763">
        <w:rPr>
          <w:rFonts w:ascii="Cambria" w:hAnsi="Cambria"/>
          <w:iCs/>
          <w:lang w:val="en-US"/>
        </w:rPr>
        <w:t xml:space="preserve">This, Panchen </w:t>
      </w:r>
      <w:proofErr w:type="spellStart"/>
      <w:r w:rsidR="00A66763">
        <w:rPr>
          <w:rFonts w:ascii="Cambria" w:hAnsi="Cambria"/>
          <w:iCs/>
          <w:lang w:val="en-US"/>
        </w:rPr>
        <w:t>Losang</w:t>
      </w:r>
      <w:proofErr w:type="spellEnd"/>
      <w:r w:rsidR="00A66763">
        <w:rPr>
          <w:rFonts w:ascii="Cambria" w:hAnsi="Cambria"/>
          <w:iCs/>
          <w:lang w:val="en-US"/>
        </w:rPr>
        <w:t xml:space="preserve"> Chökyi Gyaltsen argues, is why the idea of fallible, interdependent, conventional epistemic warrants makes sense.</w:t>
      </w:r>
    </w:p>
    <w:p w14:paraId="7B713338" w14:textId="32EBE03F" w:rsidR="00623B30" w:rsidRPr="00804001" w:rsidRDefault="00921A59" w:rsidP="00804001">
      <w:pPr>
        <w:spacing w:after="180" w:line="360" w:lineRule="auto"/>
        <w:ind w:firstLine="720"/>
        <w:rPr>
          <w:rFonts w:ascii="Cambria" w:hAnsi="Cambria"/>
          <w:iCs/>
          <w:lang w:val="en-US"/>
        </w:rPr>
      </w:pPr>
      <w:r>
        <w:rPr>
          <w:rFonts w:ascii="Cambria" w:hAnsi="Cambria"/>
          <w:iCs/>
          <w:lang w:val="en-US"/>
        </w:rPr>
        <w:t>These two issues</w:t>
      </w:r>
      <w:r w:rsidR="00A66763">
        <w:rPr>
          <w:rFonts w:ascii="Cambria" w:hAnsi="Cambria"/>
          <w:iCs/>
          <w:lang w:val="en-US"/>
        </w:rPr>
        <w:t xml:space="preserve">—the independence of warrant from foundationalism and their pragmatically established conventional status—are connected. </w:t>
      </w:r>
      <w:r w:rsidR="00972C21">
        <w:rPr>
          <w:rFonts w:ascii="Cambria" w:hAnsi="Cambria"/>
          <w:iCs/>
          <w:lang w:val="en-US"/>
        </w:rPr>
        <w:t>For the promise of foundationalism—whether the Buddhist foundationalism of Dignāga and Dharmakīrti that informs Taktsang’s own understanding of what epistemology could be or that of the phenomenalists and logical positivists of the 20</w:t>
      </w:r>
      <w:r w:rsidR="00972C21" w:rsidRPr="00972C21">
        <w:rPr>
          <w:rFonts w:ascii="Cambria" w:hAnsi="Cambria"/>
          <w:iCs/>
          <w:vertAlign w:val="superscript"/>
          <w:lang w:val="en-US"/>
        </w:rPr>
        <w:t>th</w:t>
      </w:r>
      <w:r w:rsidR="00972C21">
        <w:rPr>
          <w:rFonts w:ascii="Cambria" w:hAnsi="Cambria"/>
          <w:iCs/>
          <w:lang w:val="en-US"/>
        </w:rPr>
        <w:t xml:space="preserve"> century West against which </w:t>
      </w:r>
      <w:proofErr w:type="spellStart"/>
      <w:r w:rsidR="00972C21">
        <w:rPr>
          <w:rFonts w:ascii="Cambria" w:hAnsi="Cambria"/>
          <w:iCs/>
          <w:lang w:val="en-US"/>
        </w:rPr>
        <w:t>Neurath</w:t>
      </w:r>
      <w:proofErr w:type="spellEnd"/>
      <w:r w:rsidR="00972C21">
        <w:rPr>
          <w:rFonts w:ascii="Cambria" w:hAnsi="Cambria"/>
          <w:iCs/>
          <w:lang w:val="en-US"/>
        </w:rPr>
        <w:t xml:space="preserve"> </w:t>
      </w:r>
      <w:r w:rsidR="00972C21">
        <w:rPr>
          <w:rFonts w:ascii="Cambria" w:hAnsi="Cambria"/>
          <w:iCs/>
          <w:lang w:val="en-US"/>
        </w:rPr>
        <w:lastRenderedPageBreak/>
        <w:t>argued—is that knowledge can be secured once and for all on an unchanging, unshakable basis independent of any human conventions.  If that were the only way to secure human knowledge</w:t>
      </w:r>
      <w:r w:rsidR="00190C2D">
        <w:rPr>
          <w:rFonts w:ascii="Cambria" w:hAnsi="Cambria"/>
          <w:iCs/>
          <w:lang w:val="en-US"/>
        </w:rPr>
        <w:t xml:space="preserve">, then, given the untenability of the foundationalist program, we would be thrown into the epistemic nihilism that Taktsang defends. The remedy, as Tsongkhapa, Khedrup-jé, and Panchen </w:t>
      </w:r>
      <w:proofErr w:type="spellStart"/>
      <w:r w:rsidR="00190C2D">
        <w:rPr>
          <w:rFonts w:ascii="Cambria" w:hAnsi="Cambria"/>
          <w:iCs/>
          <w:lang w:val="en-US"/>
        </w:rPr>
        <w:t>Losang</w:t>
      </w:r>
      <w:proofErr w:type="spellEnd"/>
      <w:r w:rsidR="00190C2D">
        <w:rPr>
          <w:rFonts w:ascii="Cambria" w:hAnsi="Cambria"/>
          <w:iCs/>
          <w:lang w:val="en-US"/>
        </w:rPr>
        <w:t xml:space="preserve"> Chökyi </w:t>
      </w:r>
      <w:proofErr w:type="spellStart"/>
      <w:r w:rsidR="00190C2D">
        <w:rPr>
          <w:rFonts w:ascii="Cambria" w:hAnsi="Cambria"/>
          <w:iCs/>
          <w:lang w:val="en-US"/>
        </w:rPr>
        <w:t>Nyima</w:t>
      </w:r>
      <w:proofErr w:type="spellEnd"/>
      <w:r w:rsidR="00190C2D">
        <w:rPr>
          <w:rFonts w:ascii="Cambria" w:hAnsi="Cambria"/>
          <w:iCs/>
          <w:lang w:val="en-US"/>
        </w:rPr>
        <w:t xml:space="preserve"> saw clearly—as were </w:t>
      </w:r>
      <w:proofErr w:type="spellStart"/>
      <w:r w:rsidR="00190C2D">
        <w:rPr>
          <w:rFonts w:ascii="Cambria" w:hAnsi="Cambria"/>
          <w:iCs/>
          <w:lang w:val="en-US"/>
        </w:rPr>
        <w:t>Neurath</w:t>
      </w:r>
      <w:proofErr w:type="spellEnd"/>
      <w:r w:rsidR="00190C2D">
        <w:rPr>
          <w:rFonts w:ascii="Cambria" w:hAnsi="Cambria"/>
          <w:iCs/>
          <w:lang w:val="en-US"/>
        </w:rPr>
        <w:t xml:space="preserve">, Wittgenstein and Sellars over half a millennium later—is to recognize that knowing is something that we </w:t>
      </w:r>
      <w:r w:rsidR="00190C2D">
        <w:rPr>
          <w:rFonts w:ascii="Cambria" w:hAnsi="Cambria"/>
          <w:i/>
          <w:iCs/>
          <w:lang w:val="en-US"/>
        </w:rPr>
        <w:t xml:space="preserve">do, </w:t>
      </w:r>
      <w:r w:rsidR="00190C2D">
        <w:rPr>
          <w:rFonts w:ascii="Cambria" w:hAnsi="Cambria"/>
          <w:iCs/>
          <w:lang w:val="en-US"/>
        </w:rPr>
        <w:t xml:space="preserve">governed by human conventions, conventions that are justified pragmatically, that are self-correcting, and interdependent with the knowledge that they deliver. </w:t>
      </w:r>
      <w:r w:rsidR="00C40A3E">
        <w:rPr>
          <w:rFonts w:ascii="Cambria" w:hAnsi="Cambria"/>
          <w:iCs/>
          <w:lang w:val="en-US"/>
        </w:rPr>
        <w:t xml:space="preserve">  That self-correction in turn means that we can make real epistemic progress.</w:t>
      </w:r>
    </w:p>
    <w:p w14:paraId="7080055F" w14:textId="2B5B2455" w:rsidR="00E95E25" w:rsidRPr="00F95A94" w:rsidRDefault="00F74F95" w:rsidP="008D3792">
      <w:pPr>
        <w:keepNext/>
        <w:spacing w:before="60"/>
        <w:rPr>
          <w:rFonts w:ascii="Cambria" w:hAnsi="Cambria"/>
          <w:b/>
          <w:lang w:val="en-US"/>
        </w:rPr>
      </w:pPr>
      <w:r>
        <w:rPr>
          <w:rFonts w:ascii="Cambria" w:hAnsi="Cambria"/>
          <w:b/>
          <w:lang w:val="en-US"/>
        </w:rPr>
        <w:t>4</w:t>
      </w:r>
      <w:r w:rsidR="00E95E25" w:rsidRPr="00F95A94">
        <w:rPr>
          <w:rFonts w:ascii="Cambria" w:hAnsi="Cambria"/>
          <w:b/>
          <w:lang w:val="en-US"/>
        </w:rPr>
        <w:t>.  Epistemic Practice and Conventional Truth</w:t>
      </w:r>
      <w:r w:rsidR="00A66763">
        <w:rPr>
          <w:rFonts w:ascii="Cambria" w:hAnsi="Cambria"/>
          <w:b/>
          <w:lang w:val="en-US"/>
        </w:rPr>
        <w:t xml:space="preserve"> </w:t>
      </w:r>
    </w:p>
    <w:p w14:paraId="4E545546" w14:textId="77777777" w:rsidR="000D72C6" w:rsidRDefault="00804001" w:rsidP="00804001">
      <w:pPr>
        <w:spacing w:after="180" w:line="360" w:lineRule="auto"/>
        <w:rPr>
          <w:rFonts w:ascii="Cambria" w:hAnsi="Cambria"/>
          <w:lang w:val="en-US"/>
        </w:rPr>
      </w:pPr>
      <w:r>
        <w:rPr>
          <w:rFonts w:ascii="Cambria" w:hAnsi="Cambria"/>
          <w:lang w:val="en-US"/>
        </w:rPr>
        <w:t xml:space="preserve">The position articulated by these Geluk philosophers also helps to explain why conventional truth </w:t>
      </w:r>
      <w:proofErr w:type="gramStart"/>
      <w:r>
        <w:rPr>
          <w:rFonts w:ascii="Cambria" w:hAnsi="Cambria"/>
          <w:lang w:val="en-US"/>
        </w:rPr>
        <w:t xml:space="preserve">is a kind of </w:t>
      </w:r>
      <w:r>
        <w:rPr>
          <w:rFonts w:ascii="Cambria" w:hAnsi="Cambria"/>
          <w:i/>
          <w:lang w:val="en-US"/>
        </w:rPr>
        <w:t>truth</w:t>
      </w:r>
      <w:proofErr w:type="gramEnd"/>
      <w:r>
        <w:rPr>
          <w:rFonts w:ascii="Cambria" w:hAnsi="Cambria"/>
          <w:i/>
          <w:lang w:val="en-US"/>
        </w:rPr>
        <w:t xml:space="preserve">. </w:t>
      </w:r>
      <w:r>
        <w:rPr>
          <w:rFonts w:ascii="Cambria" w:hAnsi="Cambria"/>
          <w:lang w:val="en-US"/>
        </w:rPr>
        <w:t xml:space="preserve">That status is something that we have seen that </w:t>
      </w:r>
      <w:proofErr w:type="spellStart"/>
      <w:r>
        <w:rPr>
          <w:rFonts w:ascii="Cambria" w:hAnsi="Cambria"/>
          <w:lang w:val="en-US"/>
        </w:rPr>
        <w:t>Takstang</w:t>
      </w:r>
      <w:proofErr w:type="spellEnd"/>
      <w:r>
        <w:rPr>
          <w:rFonts w:ascii="Cambria" w:hAnsi="Cambria"/>
          <w:lang w:val="en-US"/>
        </w:rPr>
        <w:t xml:space="preserve"> denies, at least from the standpoint of Prāsaṅgika Madhyamaka. </w:t>
      </w:r>
      <w:r w:rsidR="000D72C6">
        <w:rPr>
          <w:rFonts w:ascii="Cambria" w:hAnsi="Cambria"/>
          <w:lang w:val="en-US"/>
        </w:rPr>
        <w:t xml:space="preserve">To say that conventional truth is a kind of truth is also to say that there is a difference between conventional truth and falsehood; </w:t>
      </w:r>
      <w:proofErr w:type="gramStart"/>
      <w:r w:rsidR="000D72C6">
        <w:rPr>
          <w:rFonts w:ascii="Cambria" w:hAnsi="Cambria"/>
          <w:lang w:val="en-US"/>
        </w:rPr>
        <w:t>otherwise</w:t>
      </w:r>
      <w:proofErr w:type="gramEnd"/>
      <w:r w:rsidR="000D72C6">
        <w:rPr>
          <w:rFonts w:ascii="Cambria" w:hAnsi="Cambria"/>
          <w:lang w:val="en-US"/>
        </w:rPr>
        <w:t xml:space="preserve"> truth would be vacuous. It is also to say that conventional reality is an object of knowledge, and that there is a difference between getting it right and getting it wrong </w:t>
      </w:r>
      <w:proofErr w:type="gramStart"/>
      <w:r w:rsidR="000D72C6">
        <w:rPr>
          <w:rFonts w:ascii="Cambria" w:hAnsi="Cambria"/>
          <w:lang w:val="en-US"/>
        </w:rPr>
        <w:t>with regard to</w:t>
      </w:r>
      <w:proofErr w:type="gramEnd"/>
      <w:r w:rsidR="000D72C6">
        <w:rPr>
          <w:rFonts w:ascii="Cambria" w:hAnsi="Cambria"/>
          <w:lang w:val="en-US"/>
        </w:rPr>
        <w:t xml:space="preserve"> the conventional. Hence the importance of epistemology in the Buddhist tradition.</w:t>
      </w:r>
    </w:p>
    <w:p w14:paraId="470A4BFB" w14:textId="406AB3E4" w:rsidR="00F95A94" w:rsidRDefault="00804001" w:rsidP="00B57DFA">
      <w:pPr>
        <w:spacing w:after="180" w:line="360" w:lineRule="auto"/>
        <w:ind w:firstLine="720"/>
        <w:rPr>
          <w:rFonts w:ascii="Cambria" w:hAnsi="Cambria"/>
          <w:lang w:val="en-US"/>
        </w:rPr>
      </w:pPr>
      <w:r>
        <w:rPr>
          <w:rFonts w:ascii="Cambria" w:hAnsi="Cambria"/>
          <w:lang w:val="en-US"/>
        </w:rPr>
        <w:t xml:space="preserve"> To deny the truth status of the conventional, as Nāgārjuna and Candrakīrti emphasize, is incoherent for at least three reasons. </w:t>
      </w:r>
      <w:r w:rsidR="005D5B37">
        <w:rPr>
          <w:rFonts w:ascii="Cambria" w:hAnsi="Cambria"/>
          <w:lang w:val="en-US"/>
        </w:rPr>
        <w:t xml:space="preserve">First, it would make it impossible for us to come to know ultimate truth, since the conventional is all </w:t>
      </w:r>
      <w:proofErr w:type="gramStart"/>
      <w:r w:rsidR="005D5B37">
        <w:rPr>
          <w:rFonts w:ascii="Cambria" w:hAnsi="Cambria"/>
          <w:lang w:val="en-US"/>
        </w:rPr>
        <w:t>that</w:t>
      </w:r>
      <w:proofErr w:type="gramEnd"/>
      <w:r w:rsidR="005D5B37">
        <w:rPr>
          <w:rFonts w:ascii="Cambria" w:hAnsi="Cambria"/>
          <w:lang w:val="en-US"/>
        </w:rPr>
        <w:t xml:space="preserve"> we have as a ladder to that goal.  Second, given the extensional identity of the conventional and the ultimate that is at the heart of Madhyamaka ontology, to disparage the conventional is to disparage the ultimate as well.  The putative contrast between the status of these two truths </w:t>
      </w:r>
      <w:r w:rsidR="005D5B37">
        <w:rPr>
          <w:rFonts w:ascii="Cambria" w:hAnsi="Cambria"/>
          <w:i/>
          <w:lang w:val="en-US"/>
        </w:rPr>
        <w:t xml:space="preserve">as truths </w:t>
      </w:r>
      <w:r w:rsidR="005D5B37">
        <w:rPr>
          <w:rFonts w:ascii="Cambria" w:hAnsi="Cambria"/>
          <w:lang w:val="en-US"/>
        </w:rPr>
        <w:t>is precisely that against which Madhyamaka analysis is directed.  Finally</w:t>
      </w:r>
      <w:r w:rsidR="00C40A3E">
        <w:rPr>
          <w:rFonts w:ascii="Cambria" w:hAnsi="Cambria"/>
          <w:lang w:val="en-US"/>
        </w:rPr>
        <w:t>, a</w:t>
      </w:r>
      <w:r w:rsidR="005D5B37">
        <w:rPr>
          <w:rFonts w:ascii="Cambria" w:hAnsi="Cambria"/>
          <w:lang w:val="en-US"/>
        </w:rPr>
        <w:t xml:space="preserve">ny rejection of conventional truth is self-undermining: for the assertion itself can be </w:t>
      </w:r>
      <w:r w:rsidR="00B57DFA">
        <w:rPr>
          <w:rFonts w:ascii="Cambria" w:hAnsi="Cambria"/>
          <w:lang w:val="en-US"/>
        </w:rPr>
        <w:t>only</w:t>
      </w:r>
      <w:r w:rsidR="005D5B37">
        <w:rPr>
          <w:rFonts w:ascii="Cambria" w:hAnsi="Cambria"/>
          <w:lang w:val="en-US"/>
        </w:rPr>
        <w:t xml:space="preserve"> conventional</w:t>
      </w:r>
      <w:r w:rsidR="00B57DFA">
        <w:rPr>
          <w:rFonts w:ascii="Cambria" w:hAnsi="Cambria"/>
          <w:lang w:val="en-US"/>
        </w:rPr>
        <w:t xml:space="preserve">, given its conceptual and discursive nature.  So, if there is no conventional truth, the statement that there is none is not true, either.  And any commitment to conventional truth is </w:t>
      </w:r>
      <w:r w:rsidR="00B57DFA">
        <w:rPr>
          <w:rFonts w:ascii="Cambria" w:hAnsi="Cambria"/>
          <w:i/>
          <w:lang w:val="en-US"/>
        </w:rPr>
        <w:t xml:space="preserve">ipso facto </w:t>
      </w:r>
      <w:r w:rsidR="00B57DFA">
        <w:rPr>
          <w:rFonts w:ascii="Cambria" w:hAnsi="Cambria"/>
          <w:lang w:val="en-US"/>
        </w:rPr>
        <w:t xml:space="preserve">a commitment to conventional knowledge, and hence to conventional </w:t>
      </w:r>
      <w:r w:rsidR="00B57DFA">
        <w:rPr>
          <w:rFonts w:ascii="Cambria" w:hAnsi="Cambria"/>
          <w:i/>
          <w:lang w:val="en-US"/>
        </w:rPr>
        <w:t>pramāṇas.</w:t>
      </w:r>
    </w:p>
    <w:p w14:paraId="7111BBDD" w14:textId="32EFAA4D" w:rsidR="00F95A94" w:rsidRDefault="00B57DFA" w:rsidP="00F95A94">
      <w:pPr>
        <w:spacing w:after="180" w:line="360" w:lineRule="auto"/>
        <w:ind w:firstLine="720"/>
        <w:rPr>
          <w:rFonts w:ascii="Cambria" w:hAnsi="Cambria"/>
          <w:lang w:val="en-US"/>
        </w:rPr>
      </w:pPr>
      <w:proofErr w:type="spellStart"/>
      <w:r>
        <w:rPr>
          <w:rFonts w:ascii="Cambria" w:hAnsi="Cambria"/>
          <w:lang w:val="en-US"/>
        </w:rPr>
        <w:lastRenderedPageBreak/>
        <w:t>Takstang</w:t>
      </w:r>
      <w:proofErr w:type="spellEnd"/>
      <w:r>
        <w:rPr>
          <w:rFonts w:ascii="Cambria" w:hAnsi="Cambria"/>
          <w:lang w:val="en-US"/>
        </w:rPr>
        <w:t xml:space="preserve"> attempts to evade these problems by his appeal to the three contexts of analysis we discussed earlier. But this doesn’t help. </w:t>
      </w:r>
      <w:r w:rsidR="00783CA8">
        <w:rPr>
          <w:rFonts w:ascii="Cambria" w:hAnsi="Cambria"/>
          <w:lang w:val="en-US"/>
        </w:rPr>
        <w:t xml:space="preserve">We can see this by asking a simple question: In which of those contexts is the distinction between the three contexts drawn?  </w:t>
      </w:r>
      <w:r w:rsidR="000D1923">
        <w:rPr>
          <w:rFonts w:ascii="Cambria" w:hAnsi="Cambria"/>
          <w:lang w:val="en-US"/>
        </w:rPr>
        <w:t xml:space="preserve">It can't be the context of no analysis, as the distinction itself is analytic.  And it surely can’t be the context of complete analysis, since in that context nothing can be asserted at all. But nor can it be in the context of slight analysis. For that is the context of Prāsaṅgika Madhyamaka, and in that context it is false that there are three contexts; there are only the two truths.  Taktsang’s own distinction hence presupposes a foundational Archimedean fulcrum for epistemology of precisely the kind that that </w:t>
      </w:r>
      <w:r w:rsidR="003B6D2B">
        <w:rPr>
          <w:rFonts w:ascii="Cambria" w:hAnsi="Cambria"/>
          <w:lang w:val="en-US"/>
        </w:rPr>
        <w:t xml:space="preserve">he rejects as impossible. Better to accept that we are always at sea, in mid-voyage. There is no fixed view from the shore.  </w:t>
      </w:r>
      <w:r w:rsidR="00C40A3E">
        <w:rPr>
          <w:rFonts w:ascii="Cambria" w:hAnsi="Cambria"/>
          <w:lang w:val="en-US"/>
        </w:rPr>
        <w:t>But we are at least on a voyage guided by a compass and supplied with a repair kit that gives it some hope of reaching its destination.</w:t>
      </w:r>
    </w:p>
    <w:p w14:paraId="7A5B0432" w14:textId="77777777" w:rsidR="00E95E25" w:rsidRDefault="00E95E25" w:rsidP="00E95E25">
      <w:pPr>
        <w:rPr>
          <w:rFonts w:ascii="Cambria" w:hAnsi="Cambria"/>
          <w:lang w:val="en-US"/>
        </w:rPr>
      </w:pPr>
    </w:p>
    <w:p w14:paraId="63AD2A81" w14:textId="5A978653" w:rsidR="00E95E25" w:rsidRPr="00F95A94" w:rsidRDefault="00A66763" w:rsidP="008D3792">
      <w:pPr>
        <w:keepNext/>
        <w:spacing w:before="60"/>
        <w:rPr>
          <w:rFonts w:ascii="Cambria" w:hAnsi="Cambria"/>
          <w:b/>
          <w:lang w:val="en-US"/>
        </w:rPr>
      </w:pPr>
      <w:r>
        <w:rPr>
          <w:rFonts w:ascii="Cambria" w:hAnsi="Cambria"/>
          <w:b/>
          <w:lang w:val="en-US"/>
        </w:rPr>
        <w:t>5</w:t>
      </w:r>
      <w:r w:rsidR="00E95E25" w:rsidRPr="00F95A94">
        <w:rPr>
          <w:rFonts w:ascii="Cambria" w:hAnsi="Cambria"/>
          <w:b/>
          <w:lang w:val="en-US"/>
        </w:rPr>
        <w:t>.  The Virtues of Cross-Cultural Epistemology</w:t>
      </w:r>
      <w:r w:rsidR="00190C2D">
        <w:rPr>
          <w:rFonts w:ascii="Cambria" w:hAnsi="Cambria"/>
          <w:b/>
          <w:lang w:val="en-US"/>
        </w:rPr>
        <w:t xml:space="preserve"> </w:t>
      </w:r>
    </w:p>
    <w:p w14:paraId="6F56A5E6" w14:textId="1F4E460B" w:rsidR="00F95A94" w:rsidRPr="00C73439" w:rsidRDefault="003B6D2B" w:rsidP="003B6D2B">
      <w:pPr>
        <w:spacing w:after="180" w:line="360" w:lineRule="auto"/>
        <w:rPr>
          <w:rFonts w:ascii="Cambria" w:hAnsi="Cambria"/>
          <w:lang w:val="en-US"/>
        </w:rPr>
      </w:pPr>
      <w:r>
        <w:rPr>
          <w:rFonts w:ascii="Cambria" w:hAnsi="Cambria"/>
          <w:lang w:val="en-US"/>
        </w:rPr>
        <w:t xml:space="preserve">This has been an exercise in cross-cultural epistemology, inspired both by the content of method of José Cabezón’s extraordinary scholarship. His work in epistemology, and </w:t>
      </w:r>
      <w:proofErr w:type="gramStart"/>
      <w:r>
        <w:rPr>
          <w:rFonts w:ascii="Cambria" w:hAnsi="Cambria"/>
          <w:lang w:val="en-US"/>
        </w:rPr>
        <w:t>in particular on</w:t>
      </w:r>
      <w:proofErr w:type="gramEnd"/>
      <w:r>
        <w:rPr>
          <w:rFonts w:ascii="Cambria" w:hAnsi="Cambria"/>
          <w:lang w:val="en-US"/>
        </w:rPr>
        <w:t xml:space="preserve"> the study of the Geluk tradition and of the debates between Geluk scholars and their interlocutors</w:t>
      </w:r>
      <w:r w:rsidR="00C73439">
        <w:rPr>
          <w:rFonts w:ascii="Cambria" w:hAnsi="Cambria"/>
          <w:lang w:val="en-US"/>
        </w:rPr>
        <w:t xml:space="preserve">, beginning with his exemplary translation and study of </w:t>
      </w:r>
      <w:proofErr w:type="spellStart"/>
      <w:r w:rsidR="00C73439">
        <w:rPr>
          <w:rFonts w:ascii="Cambria" w:hAnsi="Cambria"/>
          <w:lang w:val="en-US"/>
        </w:rPr>
        <w:t>Khedrup-jé’s</w:t>
      </w:r>
      <w:proofErr w:type="spellEnd"/>
      <w:r w:rsidR="00C73439">
        <w:rPr>
          <w:rFonts w:ascii="Cambria" w:hAnsi="Cambria"/>
          <w:lang w:val="en-US"/>
        </w:rPr>
        <w:t xml:space="preserve"> </w:t>
      </w:r>
      <w:r w:rsidR="00C73439">
        <w:rPr>
          <w:rFonts w:ascii="Cambria" w:hAnsi="Cambria"/>
          <w:i/>
          <w:lang w:val="en-US"/>
        </w:rPr>
        <w:t>Great Digest</w:t>
      </w:r>
      <w:r w:rsidR="00C73439">
        <w:rPr>
          <w:rFonts w:ascii="Cambria" w:hAnsi="Cambria"/>
          <w:lang w:val="en-US"/>
        </w:rPr>
        <w:t xml:space="preserve"> and culminating with his work with the Yakherds, has demonstrated the value of Tibetan epistemological reflection</w:t>
      </w:r>
      <w:r w:rsidR="004513B9">
        <w:rPr>
          <w:rFonts w:ascii="Cambria" w:hAnsi="Cambria"/>
          <w:lang w:val="en-US"/>
        </w:rPr>
        <w:t xml:space="preserve"> both for Buddhist practice and</w:t>
      </w:r>
      <w:r w:rsidR="00C73439">
        <w:rPr>
          <w:rFonts w:ascii="Cambria" w:hAnsi="Cambria"/>
          <w:lang w:val="en-US"/>
        </w:rPr>
        <w:t xml:space="preserve"> for contemporary thought, and just how to read, to translate, and to deploy that literature in epistemological dialogue.  His work on scholasticism as a genre (1994, 1998) </w:t>
      </w:r>
      <w:r w:rsidR="009D081E">
        <w:rPr>
          <w:rFonts w:ascii="Cambria" w:hAnsi="Cambria"/>
          <w:lang w:val="en-US"/>
        </w:rPr>
        <w:t>reveals not only the structure of the Indo-Tibetan philosophical tradition, but the scholastic tradition in which we Western scholars participate as well, demonstrating to us just how much of our own understanding is conditioned by scholastic practice.  These are two important reasons to pursue philosophy cross-culturally: we gain insights from other traditions not explicit in our own, and we gain insights into our own traditions and practices not apparent from within.</w:t>
      </w:r>
    </w:p>
    <w:p w14:paraId="355E740B" w14:textId="68D36941" w:rsidR="00804001" w:rsidRDefault="00AF5985" w:rsidP="00804001">
      <w:pPr>
        <w:spacing w:after="180" w:line="360" w:lineRule="auto"/>
        <w:ind w:firstLine="720"/>
        <w:rPr>
          <w:rFonts w:ascii="Cambria" w:hAnsi="Cambria"/>
          <w:lang w:val="en-US"/>
        </w:rPr>
      </w:pPr>
      <w:r>
        <w:rPr>
          <w:rFonts w:ascii="Cambria" w:hAnsi="Cambria"/>
          <w:lang w:val="en-US"/>
        </w:rPr>
        <w:t>This also says something about</w:t>
      </w:r>
      <w:r w:rsidR="00F301CD">
        <w:rPr>
          <w:rFonts w:ascii="Cambria" w:hAnsi="Cambria"/>
          <w:lang w:val="en-US"/>
        </w:rPr>
        <w:t xml:space="preserve"> what it is to sail in </w:t>
      </w:r>
      <w:proofErr w:type="spellStart"/>
      <w:r w:rsidR="00804001">
        <w:rPr>
          <w:rFonts w:ascii="Cambria" w:hAnsi="Cambria"/>
          <w:lang w:val="en-US"/>
        </w:rPr>
        <w:t>Neurath’s</w:t>
      </w:r>
      <w:proofErr w:type="spellEnd"/>
      <w:r w:rsidR="00804001">
        <w:rPr>
          <w:rFonts w:ascii="Cambria" w:hAnsi="Cambria"/>
          <w:lang w:val="en-US"/>
        </w:rPr>
        <w:t xml:space="preserve"> </w:t>
      </w:r>
      <w:r w:rsidR="00F301CD">
        <w:rPr>
          <w:rFonts w:ascii="Cambria" w:hAnsi="Cambria"/>
          <w:lang w:val="en-US"/>
        </w:rPr>
        <w:t xml:space="preserve">ship. </w:t>
      </w:r>
      <w:r>
        <w:rPr>
          <w:rFonts w:ascii="Cambria" w:hAnsi="Cambria"/>
          <w:lang w:val="en-US"/>
        </w:rPr>
        <w:t xml:space="preserve">When we set sail, we leave our own harbor for foreign lands. We do not only to share what we know and </w:t>
      </w:r>
      <w:r>
        <w:rPr>
          <w:rFonts w:ascii="Cambria" w:hAnsi="Cambria"/>
          <w:lang w:val="en-US"/>
        </w:rPr>
        <w:lastRenderedPageBreak/>
        <w:t>learn what others know, but to share how we know and to learn how it is that others come to know. And if we hope to traverse the great Ocean of Samsara, there is no vessel available save one that needs constant revision.</w:t>
      </w:r>
    </w:p>
    <w:p w14:paraId="054492E0" w14:textId="77777777" w:rsidR="00E95E25" w:rsidRDefault="00E95E25" w:rsidP="00E95E25">
      <w:pPr>
        <w:rPr>
          <w:rFonts w:ascii="Cambria" w:hAnsi="Cambria"/>
          <w:lang w:val="en-US"/>
        </w:rPr>
      </w:pPr>
    </w:p>
    <w:p w14:paraId="79069C31" w14:textId="1B3B67DE" w:rsidR="00E95E25" w:rsidRPr="00F95A94" w:rsidRDefault="00F95A94" w:rsidP="008D3792">
      <w:pPr>
        <w:keepNext/>
        <w:spacing w:before="60"/>
        <w:rPr>
          <w:rFonts w:ascii="Cambria" w:hAnsi="Cambria"/>
          <w:b/>
          <w:lang w:val="en-US"/>
        </w:rPr>
      </w:pPr>
      <w:r>
        <w:rPr>
          <w:rFonts w:ascii="Cambria" w:hAnsi="Cambria"/>
          <w:b/>
          <w:lang w:val="en-US"/>
        </w:rPr>
        <w:t>References</w:t>
      </w:r>
    </w:p>
    <w:p w14:paraId="09CF2F3B" w14:textId="3A68D126" w:rsidR="004D3947" w:rsidRDefault="004D3947" w:rsidP="004D3947">
      <w:pPr>
        <w:spacing w:after="180"/>
        <w:ind w:left="720" w:hanging="720"/>
        <w:rPr>
          <w:rFonts w:ascii="Cambria" w:hAnsi="Cambria"/>
          <w:sz w:val="22"/>
          <w:szCs w:val="22"/>
        </w:rPr>
      </w:pPr>
      <w:r>
        <w:rPr>
          <w:rFonts w:ascii="Cambria" w:hAnsi="Cambria"/>
          <w:sz w:val="22"/>
          <w:szCs w:val="22"/>
        </w:rPr>
        <w:t xml:space="preserve">Cabezón, J. (1993). </w:t>
      </w:r>
      <w:r>
        <w:rPr>
          <w:rFonts w:ascii="Cambria" w:hAnsi="Cambria"/>
          <w:i/>
          <w:sz w:val="22"/>
          <w:szCs w:val="22"/>
        </w:rPr>
        <w:t xml:space="preserve">A Dose of Emptiness. </w:t>
      </w:r>
      <w:r>
        <w:rPr>
          <w:rFonts w:ascii="Cambria" w:hAnsi="Cambria"/>
          <w:sz w:val="22"/>
          <w:szCs w:val="22"/>
        </w:rPr>
        <w:t>Albany: State University of New York Press.</w:t>
      </w:r>
    </w:p>
    <w:p w14:paraId="622C6682" w14:textId="69D5B462" w:rsidR="0051659D" w:rsidRPr="0051659D" w:rsidRDefault="0051659D" w:rsidP="004D3947">
      <w:pPr>
        <w:spacing w:after="180"/>
        <w:ind w:left="720" w:hanging="720"/>
        <w:rPr>
          <w:rFonts w:ascii="Cambria" w:hAnsi="Cambria"/>
          <w:sz w:val="22"/>
          <w:szCs w:val="22"/>
        </w:rPr>
      </w:pPr>
      <w:r>
        <w:rPr>
          <w:rFonts w:ascii="Cambria" w:hAnsi="Cambria"/>
          <w:sz w:val="22"/>
          <w:szCs w:val="22"/>
        </w:rPr>
        <w:t xml:space="preserve">Cabezón, J. (1994). </w:t>
      </w:r>
      <w:r>
        <w:rPr>
          <w:rFonts w:ascii="Cambria" w:hAnsi="Cambria"/>
          <w:i/>
          <w:sz w:val="22"/>
          <w:szCs w:val="22"/>
        </w:rPr>
        <w:t>Buddhism and Language: A Study of Indo-Tibetan Scholasticism.</w:t>
      </w:r>
      <w:r>
        <w:rPr>
          <w:rFonts w:ascii="Cambria" w:hAnsi="Cambria"/>
          <w:sz w:val="22"/>
          <w:szCs w:val="22"/>
        </w:rPr>
        <w:t xml:space="preserve"> Albany: State University of New York Press.</w:t>
      </w:r>
    </w:p>
    <w:p w14:paraId="54F288BB" w14:textId="18E1E658" w:rsidR="00B57DFA" w:rsidRDefault="00B57DFA" w:rsidP="004D3947">
      <w:pPr>
        <w:spacing w:after="180"/>
        <w:ind w:left="720" w:hanging="720"/>
        <w:rPr>
          <w:rFonts w:ascii="Cambria" w:hAnsi="Cambria"/>
          <w:iCs/>
          <w:sz w:val="22"/>
          <w:szCs w:val="22"/>
        </w:rPr>
      </w:pPr>
      <w:r>
        <w:rPr>
          <w:rFonts w:ascii="Cambria" w:hAnsi="Cambria"/>
          <w:sz w:val="22"/>
          <w:szCs w:val="22"/>
        </w:rPr>
        <w:t>Cabez</w:t>
      </w:r>
      <w:r w:rsidR="0051659D">
        <w:rPr>
          <w:rFonts w:ascii="Cambria" w:hAnsi="Cambria"/>
          <w:sz w:val="22"/>
          <w:szCs w:val="22"/>
        </w:rPr>
        <w:t>ó</w:t>
      </w:r>
      <w:r>
        <w:rPr>
          <w:rFonts w:ascii="Cambria" w:hAnsi="Cambria"/>
          <w:sz w:val="22"/>
          <w:szCs w:val="22"/>
        </w:rPr>
        <w:t xml:space="preserve">n, J. (1998). </w:t>
      </w:r>
      <w:r>
        <w:rPr>
          <w:rFonts w:ascii="Cambria" w:hAnsi="Cambria"/>
          <w:i/>
          <w:sz w:val="22"/>
          <w:szCs w:val="22"/>
        </w:rPr>
        <w:t xml:space="preserve">Scholasticism: </w:t>
      </w:r>
      <w:r w:rsidR="0051659D">
        <w:rPr>
          <w:rFonts w:ascii="Cambria" w:hAnsi="Cambria"/>
          <w:i/>
          <w:sz w:val="22"/>
          <w:szCs w:val="22"/>
        </w:rPr>
        <w:t xml:space="preserve">Cross-Cultural and Comparative Perspectives. </w:t>
      </w:r>
      <w:r w:rsidR="0051659D">
        <w:rPr>
          <w:rFonts w:ascii="Cambria" w:hAnsi="Cambria"/>
          <w:iCs/>
          <w:sz w:val="22"/>
          <w:szCs w:val="22"/>
        </w:rPr>
        <w:t>Albany: State University of New York Press.</w:t>
      </w:r>
    </w:p>
    <w:p w14:paraId="2D4E8959" w14:textId="4E7E0949" w:rsidR="004513B9" w:rsidRPr="004513B9" w:rsidRDefault="004513B9" w:rsidP="004D3947">
      <w:pPr>
        <w:spacing w:after="180"/>
        <w:ind w:left="720" w:hanging="720"/>
        <w:rPr>
          <w:rFonts w:ascii="Cambria" w:hAnsi="Cambria"/>
          <w:iCs/>
          <w:sz w:val="22"/>
          <w:szCs w:val="22"/>
          <w:lang w:val="en-US"/>
        </w:rPr>
      </w:pPr>
      <w:r>
        <w:rPr>
          <w:rFonts w:ascii="Cambria" w:hAnsi="Cambria"/>
          <w:iCs/>
          <w:sz w:val="22"/>
          <w:szCs w:val="22"/>
        </w:rPr>
        <w:t xml:space="preserve">Candrakīrti. (2003). </w:t>
      </w:r>
      <w:proofErr w:type="spellStart"/>
      <w:r>
        <w:rPr>
          <w:rFonts w:ascii="Cambria" w:hAnsi="Cambria"/>
          <w:i/>
          <w:iCs/>
          <w:sz w:val="22"/>
          <w:szCs w:val="22"/>
        </w:rPr>
        <w:t>Mūlamadhyamakavṛtti</w:t>
      </w:r>
      <w:proofErr w:type="spellEnd"/>
      <w:r>
        <w:rPr>
          <w:rFonts w:ascii="Cambria" w:hAnsi="Cambria"/>
          <w:i/>
          <w:iCs/>
          <w:sz w:val="22"/>
          <w:szCs w:val="22"/>
        </w:rPr>
        <w:t xml:space="preserve"> Prasannapadā.</w:t>
      </w:r>
      <w:r w:rsidRPr="004513B9">
        <w:rPr>
          <w:rFonts w:ascii="Cambria" w:hAnsi="Cambria"/>
          <w:iCs/>
          <w:sz w:val="22"/>
          <w:szCs w:val="22"/>
        </w:rPr>
        <w:t>(</w:t>
      </w:r>
      <w:r>
        <w:rPr>
          <w:rFonts w:ascii="Cambria" w:hAnsi="Cambria"/>
          <w:iCs/>
          <w:sz w:val="22"/>
          <w:szCs w:val="22"/>
          <w:lang w:val="en-US"/>
        </w:rPr>
        <w:t>Tibetan Edition). Sarnath: Gelukpa Student Welfare Committee.</w:t>
      </w:r>
    </w:p>
    <w:p w14:paraId="6CBC1A51" w14:textId="36694BA8" w:rsidR="00090FF3" w:rsidRPr="00090FF3" w:rsidRDefault="00090FF3" w:rsidP="00090FF3">
      <w:pPr>
        <w:spacing w:after="180"/>
        <w:ind w:left="720" w:hanging="720"/>
        <w:rPr>
          <w:rFonts w:ascii="Cambria" w:hAnsi="Cambria"/>
          <w:sz w:val="22"/>
          <w:szCs w:val="22"/>
        </w:rPr>
      </w:pPr>
      <w:r>
        <w:rPr>
          <w:rFonts w:ascii="Cambria" w:hAnsi="Cambria"/>
          <w:sz w:val="22"/>
          <w:szCs w:val="22"/>
        </w:rPr>
        <w:t xml:space="preserve">Dreyfus, G. and J. Garfield (2010). “Madhyamaka and Classical Greek Scepticism, in Cowherds, </w:t>
      </w:r>
      <w:r w:rsidRPr="00090FF3">
        <w:rPr>
          <w:rFonts w:ascii="Cambria" w:hAnsi="Cambria"/>
          <w:i/>
          <w:sz w:val="22"/>
          <w:szCs w:val="22"/>
        </w:rPr>
        <w:t>Moonshadows: Conventional Truth in Buddhist Philosophy</w:t>
      </w:r>
      <w:r>
        <w:rPr>
          <w:rFonts w:ascii="Cambria" w:hAnsi="Cambria"/>
          <w:sz w:val="22"/>
          <w:szCs w:val="22"/>
        </w:rPr>
        <w:t xml:space="preserve">. New York: Oxford University Press, 115-130. </w:t>
      </w:r>
    </w:p>
    <w:p w14:paraId="4715B4D8" w14:textId="4BE57630" w:rsidR="00090FF3" w:rsidRPr="00090FF3" w:rsidRDefault="00090FF3" w:rsidP="00090FF3">
      <w:pPr>
        <w:spacing w:after="180"/>
        <w:ind w:left="720" w:hanging="720"/>
        <w:rPr>
          <w:rFonts w:ascii="Cambria" w:hAnsi="Cambria"/>
          <w:sz w:val="22"/>
          <w:szCs w:val="22"/>
        </w:rPr>
      </w:pPr>
      <w:r>
        <w:rPr>
          <w:rFonts w:ascii="Cambria" w:hAnsi="Cambria"/>
          <w:sz w:val="22"/>
          <w:szCs w:val="22"/>
        </w:rPr>
        <w:t xml:space="preserve">Dreyfus, G. and J. Garfield. (2022). “Madhyamaka and Skepticism” (with Georges Dreyfus), </w:t>
      </w:r>
      <w:r w:rsidRPr="00090FF3">
        <w:rPr>
          <w:rFonts w:ascii="Cambria" w:hAnsi="Cambria"/>
          <w:i/>
          <w:sz w:val="22"/>
          <w:szCs w:val="22"/>
        </w:rPr>
        <w:t>International Journal for the Study of Skepticism</w:t>
      </w:r>
      <w:r w:rsidRPr="00090FF3">
        <w:rPr>
          <w:rFonts w:ascii="Cambria" w:hAnsi="Cambria"/>
          <w:sz w:val="22"/>
          <w:szCs w:val="22"/>
        </w:rPr>
        <w:t xml:space="preserve"> </w:t>
      </w:r>
      <w:r>
        <w:rPr>
          <w:rFonts w:ascii="Cambria" w:hAnsi="Cambria"/>
          <w:sz w:val="22"/>
          <w:szCs w:val="22"/>
        </w:rPr>
        <w:t>12  pp. 4-26.</w:t>
      </w:r>
    </w:p>
    <w:p w14:paraId="1BD8A1D8" w14:textId="1F1DE4E4" w:rsidR="00736E8A" w:rsidRPr="00466ECC" w:rsidRDefault="00736E8A" w:rsidP="00736E8A">
      <w:pPr>
        <w:spacing w:after="180"/>
        <w:ind w:left="720" w:hanging="720"/>
        <w:rPr>
          <w:rFonts w:ascii="Cambria" w:hAnsi="Cambria"/>
          <w:sz w:val="22"/>
          <w:szCs w:val="22"/>
        </w:rPr>
      </w:pPr>
      <w:r>
        <w:rPr>
          <w:rFonts w:ascii="Cambria" w:hAnsi="Cambria"/>
          <w:sz w:val="22"/>
          <w:szCs w:val="22"/>
        </w:rPr>
        <w:t xml:space="preserve">Garfield, J. (2020). </w:t>
      </w:r>
      <w:r w:rsidRPr="00466ECC">
        <w:rPr>
          <w:rFonts w:ascii="Cambria" w:hAnsi="Cambria"/>
          <w:sz w:val="22"/>
          <w:szCs w:val="22"/>
        </w:rPr>
        <w:t xml:space="preserve">“Thinking Beyond Thought: Tsongkhapa and Mipham on the Categorized Ultimate,” </w:t>
      </w:r>
      <w:r w:rsidRPr="00466ECC">
        <w:rPr>
          <w:rFonts w:ascii="Cambria" w:hAnsi="Cambria"/>
          <w:i/>
          <w:sz w:val="22"/>
          <w:szCs w:val="22"/>
        </w:rPr>
        <w:t xml:space="preserve">Philosophy East and West </w:t>
      </w:r>
      <w:r w:rsidRPr="00466ECC">
        <w:rPr>
          <w:rFonts w:ascii="Cambria" w:hAnsi="Cambria"/>
          <w:sz w:val="22"/>
          <w:szCs w:val="22"/>
        </w:rPr>
        <w:t>70:2, pp. 1-16. (2020)</w:t>
      </w:r>
    </w:p>
    <w:p w14:paraId="76165D0B" w14:textId="7F375BF1" w:rsidR="004D3947" w:rsidRDefault="004D3947" w:rsidP="004D3947">
      <w:pPr>
        <w:spacing w:after="180"/>
        <w:ind w:left="720" w:hanging="720"/>
        <w:rPr>
          <w:rFonts w:ascii="Cambria" w:hAnsi="Cambria"/>
          <w:sz w:val="22"/>
          <w:szCs w:val="22"/>
        </w:rPr>
      </w:pPr>
      <w:r>
        <w:rPr>
          <w:rFonts w:ascii="Cambria" w:hAnsi="Cambria"/>
          <w:sz w:val="22"/>
          <w:szCs w:val="22"/>
        </w:rPr>
        <w:t>Garfield, J.</w:t>
      </w:r>
      <w:r w:rsidRPr="004D3947">
        <w:rPr>
          <w:rFonts w:ascii="Cambria" w:hAnsi="Cambria"/>
          <w:sz w:val="22"/>
          <w:szCs w:val="22"/>
        </w:rPr>
        <w:t xml:space="preserve"> </w:t>
      </w:r>
      <w:r>
        <w:rPr>
          <w:rFonts w:ascii="Cambria" w:hAnsi="Cambria"/>
          <w:sz w:val="22"/>
          <w:szCs w:val="22"/>
        </w:rPr>
        <w:t>(2023) “</w:t>
      </w:r>
      <w:r w:rsidRPr="00E75C55">
        <w:rPr>
          <w:rFonts w:ascii="Cambria" w:hAnsi="Cambria"/>
          <w:sz w:val="22"/>
          <w:szCs w:val="22"/>
        </w:rPr>
        <w:t>Tibetan Buddhist Accounts of the Epistemology of</w:t>
      </w:r>
      <w:r>
        <w:rPr>
          <w:rFonts w:ascii="Cambria" w:hAnsi="Cambria"/>
          <w:sz w:val="22"/>
          <w:szCs w:val="22"/>
        </w:rPr>
        <w:t xml:space="preserve"> </w:t>
      </w:r>
      <w:r w:rsidRPr="00E75C55">
        <w:rPr>
          <w:rFonts w:ascii="Cambria" w:hAnsi="Cambria"/>
          <w:sz w:val="22"/>
          <w:szCs w:val="22"/>
        </w:rPr>
        <w:t xml:space="preserve">Awakening: </w:t>
      </w:r>
      <w:r>
        <w:rPr>
          <w:rFonts w:ascii="Cambria" w:hAnsi="Cambria"/>
          <w:sz w:val="22"/>
          <w:szCs w:val="22"/>
        </w:rPr>
        <w:t>Omniscience</w:t>
      </w:r>
      <w:r w:rsidRPr="00E75C55">
        <w:rPr>
          <w:rFonts w:ascii="Cambria" w:hAnsi="Cambria"/>
          <w:sz w:val="22"/>
          <w:szCs w:val="22"/>
        </w:rPr>
        <w:t xml:space="preserve"> and </w:t>
      </w:r>
      <w:r>
        <w:rPr>
          <w:rFonts w:ascii="Cambria" w:hAnsi="Cambria"/>
          <w:sz w:val="22"/>
          <w:szCs w:val="22"/>
        </w:rPr>
        <w:t xml:space="preserve">Epistemic </w:t>
      </w:r>
      <w:r w:rsidRPr="00E75C55">
        <w:rPr>
          <w:rFonts w:ascii="Cambria" w:hAnsi="Cambria"/>
          <w:sz w:val="22"/>
          <w:szCs w:val="22"/>
        </w:rPr>
        <w:t>Authority</w:t>
      </w:r>
      <w:r>
        <w:rPr>
          <w:rFonts w:ascii="Cambria" w:hAnsi="Cambria"/>
          <w:sz w:val="22"/>
          <w:szCs w:val="22"/>
        </w:rPr>
        <w:t>,”</w:t>
      </w:r>
      <w:r w:rsidRPr="00E75C55">
        <w:rPr>
          <w:rFonts w:ascii="Cambria" w:hAnsi="Cambria"/>
          <w:sz w:val="22"/>
          <w:szCs w:val="22"/>
        </w:rPr>
        <w:t xml:space="preserve"> for</w:t>
      </w:r>
      <w:r>
        <w:rPr>
          <w:rFonts w:ascii="Cambria" w:hAnsi="Cambria"/>
          <w:sz w:val="22"/>
          <w:szCs w:val="22"/>
        </w:rPr>
        <w:t>thcoming in</w:t>
      </w:r>
      <w:r w:rsidRPr="00E75C55">
        <w:rPr>
          <w:rFonts w:ascii="Cambria" w:hAnsi="Cambria"/>
          <w:sz w:val="22"/>
          <w:szCs w:val="22"/>
        </w:rPr>
        <w:t xml:space="preserve"> Nagasawa and Mohammed, eds., </w:t>
      </w:r>
      <w:r w:rsidRPr="00E75C55">
        <w:rPr>
          <w:rFonts w:ascii="Cambria" w:hAnsi="Cambria"/>
          <w:i/>
          <w:sz w:val="22"/>
          <w:szCs w:val="22"/>
        </w:rPr>
        <w:t xml:space="preserve">Global Dialogues in the </w:t>
      </w:r>
      <w:r w:rsidRPr="002C7D79">
        <w:rPr>
          <w:rFonts w:ascii="Cambria" w:hAnsi="Cambria"/>
          <w:sz w:val="22"/>
          <w:szCs w:val="22"/>
        </w:rPr>
        <w:t>Philosophy</w:t>
      </w:r>
      <w:r w:rsidRPr="00E75C55">
        <w:rPr>
          <w:rFonts w:ascii="Cambria" w:hAnsi="Cambria"/>
          <w:i/>
          <w:sz w:val="22"/>
          <w:szCs w:val="22"/>
        </w:rPr>
        <w:t xml:space="preserve"> of Religion: From Religious Experience to the Afterlife</w:t>
      </w:r>
      <w:r w:rsidRPr="00E75C55">
        <w:rPr>
          <w:rFonts w:ascii="Cambria" w:hAnsi="Cambria"/>
          <w:sz w:val="22"/>
          <w:szCs w:val="22"/>
        </w:rPr>
        <w:t>, Oxford University Press</w:t>
      </w:r>
      <w:r>
        <w:rPr>
          <w:rFonts w:ascii="Cambria" w:hAnsi="Cambria"/>
          <w:sz w:val="22"/>
          <w:szCs w:val="22"/>
        </w:rPr>
        <w:t xml:space="preserve">. </w:t>
      </w:r>
    </w:p>
    <w:p w14:paraId="67B09FB5" w14:textId="6661B740" w:rsidR="00C8119E" w:rsidRDefault="00C8119E" w:rsidP="00F95A94">
      <w:pPr>
        <w:spacing w:after="180"/>
        <w:ind w:left="720" w:hanging="720"/>
        <w:rPr>
          <w:rFonts w:ascii="Times New Roman" w:eastAsia="Times New Roman" w:hAnsi="Times New Roman" w:cs="Times New Roman"/>
          <w:iCs/>
          <w:szCs w:val="24"/>
          <w:lang w:eastAsia="en-GB" w:bidi="he-IL"/>
        </w:rPr>
      </w:pPr>
      <w:proofErr w:type="spellStart"/>
      <w:r w:rsidRPr="00C8119E">
        <w:rPr>
          <w:rFonts w:ascii="Times New Roman" w:eastAsia="Times New Roman" w:hAnsi="Times New Roman" w:cs="Times New Roman"/>
          <w:i/>
          <w:iCs/>
          <w:szCs w:val="24"/>
          <w:lang w:eastAsia="en-GB" w:bidi="he-IL"/>
        </w:rPr>
        <w:t>Neurath</w:t>
      </w:r>
      <w:proofErr w:type="spellEnd"/>
      <w:r w:rsidRPr="00C8119E">
        <w:rPr>
          <w:rFonts w:ascii="Times New Roman" w:eastAsia="Times New Roman" w:hAnsi="Times New Roman" w:cs="Times New Roman"/>
          <w:i/>
          <w:iCs/>
          <w:szCs w:val="24"/>
          <w:lang w:eastAsia="en-GB" w:bidi="he-IL"/>
        </w:rPr>
        <w:t xml:space="preserve">, Otto (1973) [1921]. </w:t>
      </w:r>
      <w:hyperlink r:id="rId7" w:history="1">
        <w:r w:rsidRPr="00C8119E">
          <w:rPr>
            <w:rFonts w:ascii="Times New Roman" w:eastAsia="Times New Roman" w:hAnsi="Times New Roman" w:cs="Times New Roman"/>
            <w:i/>
            <w:iCs/>
            <w:color w:val="0000FF"/>
            <w:szCs w:val="24"/>
            <w:u w:val="single"/>
            <w:lang w:eastAsia="en-GB" w:bidi="he-IL"/>
          </w:rPr>
          <w:t>"Anti-Spengler"</w:t>
        </w:r>
      </w:hyperlink>
      <w:r w:rsidRPr="00C8119E">
        <w:rPr>
          <w:rFonts w:ascii="Times New Roman" w:eastAsia="Times New Roman" w:hAnsi="Times New Roman" w:cs="Times New Roman"/>
          <w:i/>
          <w:iCs/>
          <w:szCs w:val="24"/>
          <w:lang w:eastAsia="en-GB" w:bidi="he-IL"/>
        </w:rPr>
        <w:t xml:space="preserve">. Empiricism and Sociology. Vienna Circle Collection. Vol. 1. Dordrecht: D. </w:t>
      </w:r>
      <w:proofErr w:type="spellStart"/>
      <w:r w:rsidRPr="00C8119E">
        <w:rPr>
          <w:rFonts w:ascii="Times New Roman" w:eastAsia="Times New Roman" w:hAnsi="Times New Roman" w:cs="Times New Roman"/>
          <w:i/>
          <w:iCs/>
          <w:szCs w:val="24"/>
          <w:lang w:eastAsia="en-GB" w:bidi="he-IL"/>
        </w:rPr>
        <w:t>Reidel</w:t>
      </w:r>
      <w:proofErr w:type="spellEnd"/>
      <w:r w:rsidRPr="00C8119E">
        <w:rPr>
          <w:rFonts w:ascii="Times New Roman" w:eastAsia="Times New Roman" w:hAnsi="Times New Roman" w:cs="Times New Roman"/>
          <w:i/>
          <w:iCs/>
          <w:szCs w:val="24"/>
          <w:lang w:eastAsia="en-GB" w:bidi="he-IL"/>
        </w:rPr>
        <w:t>. pp. </w:t>
      </w:r>
      <w:hyperlink r:id="rId8" w:history="1">
        <w:r w:rsidRPr="00C8119E">
          <w:rPr>
            <w:rFonts w:ascii="Times New Roman" w:eastAsia="Times New Roman" w:hAnsi="Times New Roman" w:cs="Times New Roman"/>
            <w:i/>
            <w:iCs/>
            <w:color w:val="0000FF"/>
            <w:szCs w:val="24"/>
            <w:u w:val="single"/>
            <w:lang w:eastAsia="en-GB" w:bidi="he-IL"/>
          </w:rPr>
          <w:t>158–213</w:t>
        </w:r>
      </w:hyperlink>
    </w:p>
    <w:p w14:paraId="4DBFF9CD" w14:textId="67FF050B" w:rsidR="00E74D4C" w:rsidRDefault="00E74D4C" w:rsidP="00F95A94">
      <w:pPr>
        <w:spacing w:after="180"/>
        <w:ind w:left="720" w:hanging="720"/>
        <w:rPr>
          <w:rFonts w:ascii="Times New Roman" w:eastAsia="Times New Roman" w:hAnsi="Times New Roman" w:cs="Times New Roman"/>
          <w:iCs/>
          <w:szCs w:val="24"/>
          <w:lang w:eastAsia="en-GB" w:bidi="he-IL"/>
        </w:rPr>
      </w:pPr>
      <w:r>
        <w:rPr>
          <w:rFonts w:ascii="Times New Roman" w:eastAsia="Times New Roman" w:hAnsi="Times New Roman" w:cs="Times New Roman"/>
          <w:iCs/>
          <w:szCs w:val="24"/>
          <w:lang w:eastAsia="en-GB" w:bidi="he-IL"/>
        </w:rPr>
        <w:t xml:space="preserve">Powers, J. (1994). “Empiricism and Pragmatism in the Thought of Dharmakīrti and William James,” </w:t>
      </w:r>
      <w:r>
        <w:rPr>
          <w:rFonts w:ascii="Times New Roman" w:eastAsia="Times New Roman" w:hAnsi="Times New Roman" w:cs="Times New Roman"/>
          <w:i/>
          <w:iCs/>
          <w:szCs w:val="24"/>
          <w:lang w:eastAsia="en-GB" w:bidi="he-IL"/>
        </w:rPr>
        <w:t xml:space="preserve">American Journal of Theology and Philosophy </w:t>
      </w:r>
      <w:r>
        <w:rPr>
          <w:rFonts w:ascii="Times New Roman" w:eastAsia="Times New Roman" w:hAnsi="Times New Roman" w:cs="Times New Roman"/>
          <w:iCs/>
          <w:szCs w:val="24"/>
          <w:lang w:eastAsia="en-GB" w:bidi="he-IL"/>
        </w:rPr>
        <w:t xml:space="preserve">15:1, pp. </w:t>
      </w:r>
      <w:r w:rsidR="00293C01">
        <w:rPr>
          <w:rFonts w:ascii="Times New Roman" w:eastAsia="Times New Roman" w:hAnsi="Times New Roman" w:cs="Times New Roman"/>
          <w:iCs/>
          <w:szCs w:val="24"/>
          <w:lang w:eastAsia="en-GB" w:bidi="he-IL"/>
        </w:rPr>
        <w:t>59-85.</w:t>
      </w:r>
    </w:p>
    <w:p w14:paraId="3D716105" w14:textId="48F1DAAD" w:rsidR="00B4367E" w:rsidRPr="00B4367E" w:rsidRDefault="00B4367E" w:rsidP="00F95A94">
      <w:pPr>
        <w:spacing w:after="180"/>
        <w:ind w:left="720" w:hanging="720"/>
        <w:rPr>
          <w:rFonts w:ascii="Times New Roman" w:eastAsia="Times New Roman" w:hAnsi="Times New Roman" w:cs="Times New Roman"/>
          <w:iCs/>
          <w:szCs w:val="24"/>
          <w:lang w:eastAsia="en-GB" w:bidi="he-IL"/>
        </w:rPr>
      </w:pPr>
      <w:r>
        <w:rPr>
          <w:rFonts w:ascii="Times New Roman" w:eastAsia="Times New Roman" w:hAnsi="Times New Roman" w:cs="Times New Roman"/>
          <w:iCs/>
          <w:szCs w:val="24"/>
          <w:lang w:eastAsia="en-GB" w:bidi="he-IL"/>
        </w:rPr>
        <w:t>Tsongkhapa. (20</w:t>
      </w:r>
      <w:r w:rsidR="001B34D0">
        <w:rPr>
          <w:rFonts w:ascii="Times New Roman" w:eastAsia="Times New Roman" w:hAnsi="Times New Roman" w:cs="Times New Roman"/>
          <w:iCs/>
          <w:szCs w:val="24"/>
          <w:lang w:eastAsia="en-GB" w:bidi="he-IL"/>
        </w:rPr>
        <w:t>0</w:t>
      </w:r>
      <w:r>
        <w:rPr>
          <w:rFonts w:ascii="Times New Roman" w:eastAsia="Times New Roman" w:hAnsi="Times New Roman" w:cs="Times New Roman"/>
          <w:iCs/>
          <w:szCs w:val="24"/>
          <w:lang w:eastAsia="en-GB" w:bidi="he-IL"/>
        </w:rPr>
        <w:t xml:space="preserve">2). </w:t>
      </w:r>
      <w:r>
        <w:rPr>
          <w:rFonts w:ascii="Times New Roman" w:eastAsia="Times New Roman" w:hAnsi="Times New Roman" w:cs="Times New Roman"/>
          <w:i/>
          <w:iCs/>
          <w:szCs w:val="24"/>
          <w:lang w:eastAsia="en-GB" w:bidi="he-IL"/>
        </w:rPr>
        <w:t xml:space="preserve">Great Exposition of the Stages of the Path to Enlightenment </w:t>
      </w:r>
      <w:r>
        <w:rPr>
          <w:rFonts w:ascii="Times New Roman" w:eastAsia="Times New Roman" w:hAnsi="Times New Roman" w:cs="Times New Roman"/>
          <w:iCs/>
          <w:szCs w:val="24"/>
          <w:lang w:eastAsia="en-GB" w:bidi="he-IL"/>
        </w:rPr>
        <w:t xml:space="preserve">vol. 3. (trans Lamrim </w:t>
      </w:r>
      <w:proofErr w:type="spellStart"/>
      <w:r>
        <w:rPr>
          <w:rFonts w:ascii="Times New Roman" w:eastAsia="Times New Roman" w:hAnsi="Times New Roman" w:cs="Times New Roman"/>
          <w:iCs/>
          <w:szCs w:val="24"/>
          <w:lang w:eastAsia="en-GB" w:bidi="he-IL"/>
        </w:rPr>
        <w:t>Chenmo</w:t>
      </w:r>
      <w:proofErr w:type="spellEnd"/>
      <w:r>
        <w:rPr>
          <w:rFonts w:ascii="Times New Roman" w:eastAsia="Times New Roman" w:hAnsi="Times New Roman" w:cs="Times New Roman"/>
          <w:iCs/>
          <w:szCs w:val="24"/>
          <w:lang w:eastAsia="en-GB" w:bidi="he-IL"/>
        </w:rPr>
        <w:t xml:space="preserve"> Translation Committee). Ithaca: Snow Lion.</w:t>
      </w:r>
    </w:p>
    <w:p w14:paraId="08516FE1" w14:textId="584405A2" w:rsidR="004D3947" w:rsidRPr="00C8119E" w:rsidRDefault="004D3947" w:rsidP="00F95A94">
      <w:pPr>
        <w:spacing w:after="180"/>
        <w:ind w:left="720" w:hanging="720"/>
        <w:rPr>
          <w:rFonts w:ascii="Times New Roman" w:eastAsia="Times New Roman" w:hAnsi="Times New Roman" w:cs="Times New Roman"/>
          <w:szCs w:val="24"/>
          <w:lang w:eastAsia="en-GB" w:bidi="he-IL"/>
        </w:rPr>
      </w:pPr>
      <w:r>
        <w:rPr>
          <w:rFonts w:ascii="Times New Roman" w:eastAsia="Times New Roman" w:hAnsi="Times New Roman" w:cs="Times New Roman"/>
          <w:iCs/>
          <w:szCs w:val="24"/>
          <w:lang w:eastAsia="en-GB" w:bidi="he-IL"/>
        </w:rPr>
        <w:t>Yakherds. (202</w:t>
      </w:r>
      <w:r w:rsidR="000D72C6">
        <w:rPr>
          <w:rFonts w:ascii="Times New Roman" w:eastAsia="Times New Roman" w:hAnsi="Times New Roman" w:cs="Times New Roman"/>
          <w:iCs/>
          <w:szCs w:val="24"/>
          <w:lang w:eastAsia="en-GB" w:bidi="he-IL"/>
        </w:rPr>
        <w:t>1</w:t>
      </w:r>
      <w:r>
        <w:rPr>
          <w:rFonts w:ascii="Times New Roman" w:eastAsia="Times New Roman" w:hAnsi="Times New Roman" w:cs="Times New Roman"/>
          <w:iCs/>
          <w:szCs w:val="24"/>
          <w:lang w:eastAsia="en-GB" w:bidi="he-IL"/>
        </w:rPr>
        <w:t xml:space="preserve">). </w:t>
      </w:r>
      <w:r>
        <w:rPr>
          <w:rFonts w:ascii="Times New Roman" w:eastAsia="Times New Roman" w:hAnsi="Times New Roman" w:cs="Times New Roman"/>
          <w:i/>
          <w:iCs/>
          <w:szCs w:val="24"/>
          <w:lang w:eastAsia="en-GB" w:bidi="he-IL"/>
        </w:rPr>
        <w:t xml:space="preserve">Knowing Illusion: Bringing a Tibetan Debate into Contemporary Discourse. </w:t>
      </w:r>
      <w:r>
        <w:rPr>
          <w:rFonts w:ascii="Times New Roman" w:eastAsia="Times New Roman" w:hAnsi="Times New Roman" w:cs="Times New Roman"/>
          <w:iCs/>
          <w:szCs w:val="24"/>
          <w:lang w:eastAsia="en-GB" w:bidi="he-IL"/>
        </w:rPr>
        <w:t>New York: Oxford University Press.</w:t>
      </w:r>
    </w:p>
    <w:p w14:paraId="414652B4" w14:textId="77777777" w:rsidR="006F17A3" w:rsidRPr="006F17A3" w:rsidRDefault="006F17A3" w:rsidP="006F17A3">
      <w:pPr>
        <w:rPr>
          <w:rFonts w:ascii="Cambria" w:hAnsi="Cambria"/>
          <w:lang w:val="en-US"/>
        </w:rPr>
      </w:pPr>
    </w:p>
    <w:p w14:paraId="2FE01374" w14:textId="77777777" w:rsidR="00B57DFA" w:rsidRPr="006F17A3" w:rsidRDefault="00B57DFA">
      <w:pPr>
        <w:rPr>
          <w:rFonts w:ascii="Cambria" w:hAnsi="Cambria"/>
          <w:lang w:val="en-US"/>
        </w:rPr>
      </w:pPr>
    </w:p>
    <w:sectPr w:rsidR="00B57DFA" w:rsidRPr="006F17A3" w:rsidSect="009C044B">
      <w:headerReference w:type="even" r:id="rId9"/>
      <w:headerReference w:type="default" r:id="rId1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B8B698" w14:textId="77777777" w:rsidR="00FD0C9D" w:rsidRDefault="00FD0C9D" w:rsidP="006027D1">
      <w:r>
        <w:separator/>
      </w:r>
    </w:p>
  </w:endnote>
  <w:endnote w:type="continuationSeparator" w:id="0">
    <w:p w14:paraId="4D5CB358" w14:textId="77777777" w:rsidR="00FD0C9D" w:rsidRDefault="00FD0C9D" w:rsidP="00602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icrosoft Himalaya">
    <w:panose1 w:val="01010100010101010101"/>
    <w:charset w:val="00"/>
    <w:family w:val="auto"/>
    <w:pitch w:val="variable"/>
    <w:sig w:usb0="80000003" w:usb1="00010000" w:usb2="00000040" w:usb3="00000000" w:csb0="0000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Times">
    <w:panose1 w:val="00000500000000020000"/>
    <w:charset w:val="00"/>
    <w:family w:val="auto"/>
    <w:pitch w:val="variable"/>
    <w:sig w:usb0="E00002FF" w:usb1="5000205A" w:usb2="00000000" w:usb3="00000000" w:csb0="0000019F" w:csb1="00000000"/>
  </w:font>
  <w:font w:name="Minion Pro">
    <w:panose1 w:val="02040503050306020203"/>
    <w:charset w:val="00"/>
    <w:family w:val="roman"/>
    <w:pitch w:val="variable"/>
    <w:sig w:usb0="6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7149F" w14:textId="77777777" w:rsidR="00FD0C9D" w:rsidRDefault="00FD0C9D" w:rsidP="006027D1">
      <w:r>
        <w:separator/>
      </w:r>
    </w:p>
  </w:footnote>
  <w:footnote w:type="continuationSeparator" w:id="0">
    <w:p w14:paraId="1A994F55" w14:textId="77777777" w:rsidR="00FD0C9D" w:rsidRDefault="00FD0C9D" w:rsidP="006027D1">
      <w:r>
        <w:continuationSeparator/>
      </w:r>
    </w:p>
  </w:footnote>
  <w:footnote w:id="1">
    <w:p w14:paraId="1B0A7010" w14:textId="758D8B12" w:rsidR="004D3947" w:rsidRPr="004D3947" w:rsidRDefault="004D3947" w:rsidP="004D3947">
      <w:pPr>
        <w:rPr>
          <w:rFonts w:ascii="Cambria" w:hAnsi="Cambria"/>
          <w:sz w:val="22"/>
          <w:szCs w:val="22"/>
          <w:lang w:val="en-US"/>
        </w:rPr>
      </w:pPr>
      <w:r w:rsidRPr="004D3947">
        <w:rPr>
          <w:rStyle w:val="FootnoteReference"/>
          <w:rFonts w:ascii="Cambria" w:hAnsi="Cambria"/>
          <w:sz w:val="22"/>
          <w:szCs w:val="22"/>
        </w:rPr>
        <w:footnoteRef/>
      </w:r>
      <w:r w:rsidRPr="004D3947">
        <w:rPr>
          <w:rFonts w:ascii="Cambria" w:hAnsi="Cambria"/>
          <w:sz w:val="22"/>
          <w:szCs w:val="22"/>
        </w:rPr>
        <w:t xml:space="preserve"> </w:t>
      </w:r>
      <w:r>
        <w:rPr>
          <w:rFonts w:ascii="Cambria" w:hAnsi="Cambria"/>
          <w:sz w:val="22"/>
          <w:szCs w:val="22"/>
        </w:rPr>
        <w:t xml:space="preserve">This is so </w:t>
      </w:r>
      <w:r w:rsidRPr="004D3947">
        <w:rPr>
          <w:rFonts w:ascii="Cambria" w:hAnsi="Cambria"/>
          <w:sz w:val="22"/>
          <w:szCs w:val="22"/>
          <w:lang w:val="en-US"/>
        </w:rPr>
        <w:t>although there is considerable debate concerning what that knowledge amounts to, and what the relevant phenomena are</w:t>
      </w:r>
      <w:r w:rsidR="00CC70B0">
        <w:rPr>
          <w:rFonts w:ascii="Cambria" w:hAnsi="Cambria"/>
          <w:sz w:val="22"/>
          <w:szCs w:val="22"/>
          <w:lang w:val="en-US"/>
        </w:rPr>
        <w:t>. A good deal of that debate is prosecuted in the context of the Tsongkhapa-Takstang</w:t>
      </w:r>
      <w:r w:rsidRPr="004D3947">
        <w:rPr>
          <w:rFonts w:ascii="Cambria" w:hAnsi="Cambria"/>
          <w:sz w:val="22"/>
          <w:szCs w:val="22"/>
          <w:lang w:val="en-US"/>
        </w:rPr>
        <w:t xml:space="preserve"> </w:t>
      </w:r>
      <w:r w:rsidR="00CC70B0">
        <w:rPr>
          <w:rFonts w:ascii="Cambria" w:hAnsi="Cambria"/>
          <w:sz w:val="22"/>
          <w:szCs w:val="22"/>
          <w:lang w:val="en-US"/>
        </w:rPr>
        <w:t xml:space="preserve">dispute. </w:t>
      </w:r>
      <w:r w:rsidRPr="004D3947">
        <w:rPr>
          <w:rFonts w:ascii="Cambria" w:hAnsi="Cambria"/>
          <w:sz w:val="22"/>
          <w:szCs w:val="22"/>
          <w:lang w:val="en-US"/>
        </w:rPr>
        <w:t xml:space="preserve"> </w:t>
      </w:r>
      <w:r w:rsidR="00CC70B0">
        <w:rPr>
          <w:rFonts w:ascii="Cambria" w:hAnsi="Cambria"/>
          <w:sz w:val="22"/>
          <w:szCs w:val="22"/>
          <w:lang w:val="en-US"/>
        </w:rPr>
        <w:t xml:space="preserve">But this issue </w:t>
      </w:r>
      <w:r w:rsidRPr="004D3947">
        <w:rPr>
          <w:rFonts w:ascii="Cambria" w:hAnsi="Cambria"/>
          <w:sz w:val="22"/>
          <w:szCs w:val="22"/>
          <w:lang w:val="en-US"/>
        </w:rPr>
        <w:t xml:space="preserve"> need not detain us here</w:t>
      </w:r>
      <w:r>
        <w:rPr>
          <w:rFonts w:ascii="Cambria" w:hAnsi="Cambria"/>
          <w:sz w:val="22"/>
          <w:szCs w:val="22"/>
          <w:lang w:val="en-US"/>
        </w:rPr>
        <w:t>. (Garfield 2023)</w:t>
      </w:r>
    </w:p>
    <w:p w14:paraId="3BEB6CD4" w14:textId="7A79D845" w:rsidR="004D3947" w:rsidRPr="004D3947" w:rsidRDefault="004D3947">
      <w:pPr>
        <w:pStyle w:val="FootnoteText"/>
        <w:rPr>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01800948"/>
      <w:docPartObj>
        <w:docPartGallery w:val="Page Numbers (Top of Page)"/>
        <w:docPartUnique/>
      </w:docPartObj>
    </w:sdtPr>
    <w:sdtContent>
      <w:p w14:paraId="0791B3AA" w14:textId="3076E742" w:rsidR="006027D1" w:rsidRDefault="006027D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3F6850" w14:textId="77777777" w:rsidR="006027D1" w:rsidRDefault="006027D1" w:rsidP="006027D1">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34421265"/>
      <w:docPartObj>
        <w:docPartGallery w:val="Page Numbers (Top of Page)"/>
        <w:docPartUnique/>
      </w:docPartObj>
    </w:sdtPr>
    <w:sdtEndPr>
      <w:rPr>
        <w:rStyle w:val="PageNumber"/>
        <w:rFonts w:ascii="Cambria" w:hAnsi="Cambria"/>
      </w:rPr>
    </w:sdtEndPr>
    <w:sdtContent>
      <w:p w14:paraId="6F8F2B1C" w14:textId="49B37D84" w:rsidR="006027D1" w:rsidRDefault="006027D1">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E26BF8C" w14:textId="77777777" w:rsidR="006027D1" w:rsidRDefault="006027D1" w:rsidP="006027D1">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448E7"/>
    <w:multiLevelType w:val="hybridMultilevel"/>
    <w:tmpl w:val="915A998C"/>
    <w:lvl w:ilvl="0" w:tplc="3CFCF70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F4448B2"/>
    <w:multiLevelType w:val="multilevel"/>
    <w:tmpl w:val="C3369DE6"/>
    <w:lvl w:ilvl="0">
      <w:start w:val="1"/>
      <w:numFmt w:val="decimal"/>
      <w:lvlText w:val="%1."/>
      <w:lvlJc w:val="left"/>
      <w:pPr>
        <w:tabs>
          <w:tab w:val="num" w:pos="1440"/>
        </w:tabs>
        <w:ind w:left="1440" w:hanging="720"/>
      </w:pPr>
    </w:lvl>
    <w:lvl w:ilvl="1">
      <w:start w:val="1"/>
      <w:numFmt w:val="decimal"/>
      <w:isLgl/>
      <w:lvlText w:val="%1.%2"/>
      <w:lvlJc w:val="left"/>
      <w:pPr>
        <w:tabs>
          <w:tab w:val="num" w:pos="2160"/>
        </w:tabs>
        <w:ind w:left="2160" w:hanging="1440"/>
      </w:pPr>
    </w:lvl>
    <w:lvl w:ilvl="2">
      <w:start w:val="1"/>
      <w:numFmt w:val="decimal"/>
      <w:isLgl/>
      <w:lvlText w:val="%1.%2.%3"/>
      <w:lvlJc w:val="left"/>
      <w:pPr>
        <w:tabs>
          <w:tab w:val="num" w:pos="2160"/>
        </w:tabs>
        <w:ind w:left="2160" w:hanging="1440"/>
      </w:pPr>
    </w:lvl>
    <w:lvl w:ilvl="3">
      <w:start w:val="2"/>
      <w:numFmt w:val="decimal"/>
      <w:isLgl/>
      <w:lvlText w:val="%1.%2.%3.%4"/>
      <w:lvlJc w:val="left"/>
      <w:pPr>
        <w:tabs>
          <w:tab w:val="num" w:pos="2160"/>
        </w:tabs>
        <w:ind w:left="2160" w:hanging="1440"/>
      </w:pPr>
    </w:lvl>
    <w:lvl w:ilvl="4">
      <w:start w:val="1"/>
      <w:numFmt w:val="decimal"/>
      <w:isLgl/>
      <w:lvlText w:val="%1.%2.%3.%4.%5"/>
      <w:lvlJc w:val="left"/>
      <w:pPr>
        <w:tabs>
          <w:tab w:val="num" w:pos="2160"/>
        </w:tabs>
        <w:ind w:left="2160" w:hanging="1440"/>
      </w:pPr>
    </w:lvl>
    <w:lvl w:ilvl="5">
      <w:start w:val="1"/>
      <w:numFmt w:val="decimal"/>
      <w:isLgl/>
      <w:lvlText w:val="%1.%2.%3.%4.%5.%6"/>
      <w:lvlJc w:val="left"/>
      <w:pPr>
        <w:tabs>
          <w:tab w:val="num" w:pos="2160"/>
        </w:tabs>
        <w:ind w:left="2160" w:hanging="1440"/>
      </w:pPr>
    </w:lvl>
    <w:lvl w:ilvl="6">
      <w:start w:val="1"/>
      <w:numFmt w:val="decimal"/>
      <w:isLgl/>
      <w:lvlText w:val="%1.%2.%3.%4.%5.%6.%7"/>
      <w:lvlJc w:val="left"/>
      <w:pPr>
        <w:tabs>
          <w:tab w:val="num" w:pos="2520"/>
        </w:tabs>
        <w:ind w:left="2520" w:hanging="1800"/>
      </w:pPr>
    </w:lvl>
    <w:lvl w:ilvl="7">
      <w:start w:val="1"/>
      <w:numFmt w:val="decimal"/>
      <w:isLgl/>
      <w:lvlText w:val="%1.%2.%3.%4.%5.%6.%7.%8"/>
      <w:lvlJc w:val="left"/>
      <w:pPr>
        <w:tabs>
          <w:tab w:val="num" w:pos="2520"/>
        </w:tabs>
        <w:ind w:left="2520" w:hanging="1800"/>
      </w:pPr>
    </w:lvl>
    <w:lvl w:ilvl="8">
      <w:start w:val="1"/>
      <w:numFmt w:val="decimal"/>
      <w:isLgl/>
      <w:lvlText w:val="%1.%2.%3.%4.%5.%6.%7.%8.%9"/>
      <w:lvlJc w:val="left"/>
      <w:pPr>
        <w:tabs>
          <w:tab w:val="num" w:pos="2880"/>
        </w:tabs>
        <w:ind w:left="2880" w:hanging="2160"/>
      </w:pPr>
    </w:lvl>
  </w:abstractNum>
  <w:abstractNum w:abstractNumId="2" w15:restartNumberingAfterBreak="0">
    <w:nsid w:val="453C4DC2"/>
    <w:multiLevelType w:val="hybridMultilevel"/>
    <w:tmpl w:val="A4666A28"/>
    <w:lvl w:ilvl="0" w:tplc="FB50D5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5101679">
    <w:abstractNumId w:val="2"/>
  </w:num>
  <w:num w:numId="2" w16cid:durableId="4483733">
    <w:abstractNumId w:val="0"/>
  </w:num>
  <w:num w:numId="3" w16cid:durableId="917982137">
    <w:abstractNumId w:val="1"/>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370"/>
    <w:rsid w:val="00003536"/>
    <w:rsid w:val="000373F1"/>
    <w:rsid w:val="00046488"/>
    <w:rsid w:val="00061A89"/>
    <w:rsid w:val="00090FF3"/>
    <w:rsid w:val="000B6514"/>
    <w:rsid w:val="000D1923"/>
    <w:rsid w:val="000D72C6"/>
    <w:rsid w:val="000E42F8"/>
    <w:rsid w:val="00115CC6"/>
    <w:rsid w:val="00116209"/>
    <w:rsid w:val="00150AB8"/>
    <w:rsid w:val="001573CA"/>
    <w:rsid w:val="001725B4"/>
    <w:rsid w:val="00185FD9"/>
    <w:rsid w:val="00190C2D"/>
    <w:rsid w:val="001B34D0"/>
    <w:rsid w:val="001F3235"/>
    <w:rsid w:val="001F4368"/>
    <w:rsid w:val="002119D2"/>
    <w:rsid w:val="0028619F"/>
    <w:rsid w:val="00293C01"/>
    <w:rsid w:val="002C4F48"/>
    <w:rsid w:val="002C6CBA"/>
    <w:rsid w:val="002E7CD5"/>
    <w:rsid w:val="0033034D"/>
    <w:rsid w:val="00382EE6"/>
    <w:rsid w:val="00383B80"/>
    <w:rsid w:val="003A0ACC"/>
    <w:rsid w:val="003A7FD8"/>
    <w:rsid w:val="003B6D2B"/>
    <w:rsid w:val="003F6F68"/>
    <w:rsid w:val="0040031E"/>
    <w:rsid w:val="004513B9"/>
    <w:rsid w:val="004557ED"/>
    <w:rsid w:val="00485B2D"/>
    <w:rsid w:val="004C1FE6"/>
    <w:rsid w:val="004D3947"/>
    <w:rsid w:val="004D7F26"/>
    <w:rsid w:val="00504B17"/>
    <w:rsid w:val="0051659D"/>
    <w:rsid w:val="005714E9"/>
    <w:rsid w:val="00573E2C"/>
    <w:rsid w:val="005D5B37"/>
    <w:rsid w:val="006027D1"/>
    <w:rsid w:val="00623B30"/>
    <w:rsid w:val="00632C85"/>
    <w:rsid w:val="006455F6"/>
    <w:rsid w:val="00665434"/>
    <w:rsid w:val="00676605"/>
    <w:rsid w:val="00696ABF"/>
    <w:rsid w:val="006A18EA"/>
    <w:rsid w:val="006A35AF"/>
    <w:rsid w:val="006D4E87"/>
    <w:rsid w:val="006F17A3"/>
    <w:rsid w:val="00727FD9"/>
    <w:rsid w:val="00730B14"/>
    <w:rsid w:val="00736E8A"/>
    <w:rsid w:val="00783CA8"/>
    <w:rsid w:val="00795CD7"/>
    <w:rsid w:val="007A2575"/>
    <w:rsid w:val="00804001"/>
    <w:rsid w:val="00807FD2"/>
    <w:rsid w:val="00812C58"/>
    <w:rsid w:val="008142B4"/>
    <w:rsid w:val="00820F40"/>
    <w:rsid w:val="00826272"/>
    <w:rsid w:val="0083087D"/>
    <w:rsid w:val="00837816"/>
    <w:rsid w:val="00850A98"/>
    <w:rsid w:val="00860EE2"/>
    <w:rsid w:val="00873310"/>
    <w:rsid w:val="00883A4B"/>
    <w:rsid w:val="008A63DC"/>
    <w:rsid w:val="008B384E"/>
    <w:rsid w:val="008D3792"/>
    <w:rsid w:val="0090784B"/>
    <w:rsid w:val="00921A59"/>
    <w:rsid w:val="009668CB"/>
    <w:rsid w:val="00970370"/>
    <w:rsid w:val="00970FEC"/>
    <w:rsid w:val="00972C21"/>
    <w:rsid w:val="00975062"/>
    <w:rsid w:val="009A16DF"/>
    <w:rsid w:val="009C044B"/>
    <w:rsid w:val="009D081E"/>
    <w:rsid w:val="009D66A0"/>
    <w:rsid w:val="00A66763"/>
    <w:rsid w:val="00A717F6"/>
    <w:rsid w:val="00A80813"/>
    <w:rsid w:val="00AF282C"/>
    <w:rsid w:val="00AF5985"/>
    <w:rsid w:val="00B00953"/>
    <w:rsid w:val="00B233FD"/>
    <w:rsid w:val="00B4367E"/>
    <w:rsid w:val="00B57B3C"/>
    <w:rsid w:val="00B57DFA"/>
    <w:rsid w:val="00B70987"/>
    <w:rsid w:val="00BD0771"/>
    <w:rsid w:val="00BD6BBB"/>
    <w:rsid w:val="00C16DBB"/>
    <w:rsid w:val="00C409E2"/>
    <w:rsid w:val="00C40A3E"/>
    <w:rsid w:val="00C73439"/>
    <w:rsid w:val="00C750BA"/>
    <w:rsid w:val="00C8119E"/>
    <w:rsid w:val="00CC6E1C"/>
    <w:rsid w:val="00CC70B0"/>
    <w:rsid w:val="00D265E4"/>
    <w:rsid w:val="00D34EF9"/>
    <w:rsid w:val="00D45439"/>
    <w:rsid w:val="00D50D96"/>
    <w:rsid w:val="00D9621F"/>
    <w:rsid w:val="00DB2442"/>
    <w:rsid w:val="00DC07B7"/>
    <w:rsid w:val="00DF676A"/>
    <w:rsid w:val="00E24D43"/>
    <w:rsid w:val="00E744AF"/>
    <w:rsid w:val="00E74D4C"/>
    <w:rsid w:val="00E771B7"/>
    <w:rsid w:val="00E81820"/>
    <w:rsid w:val="00E95E25"/>
    <w:rsid w:val="00EA0F84"/>
    <w:rsid w:val="00EA2203"/>
    <w:rsid w:val="00EA4ACE"/>
    <w:rsid w:val="00F301CD"/>
    <w:rsid w:val="00F31A48"/>
    <w:rsid w:val="00F359BA"/>
    <w:rsid w:val="00F74F95"/>
    <w:rsid w:val="00F95A94"/>
    <w:rsid w:val="00FA1A14"/>
    <w:rsid w:val="00FA6BD2"/>
    <w:rsid w:val="00FA778D"/>
    <w:rsid w:val="00FB2B16"/>
    <w:rsid w:val="00FB78E5"/>
    <w:rsid w:val="00FD0C9D"/>
  </w:rsids>
  <m:mathPr>
    <m:mathFont m:val="Cambria Math"/>
    <m:brkBin m:val="before"/>
    <m:brkBinSub m:val="--"/>
    <m:smallFrac m:val="0"/>
    <m:dispDef/>
    <m:lMargin m:val="0"/>
    <m:rMargin m:val="0"/>
    <m:defJc m:val="centerGroup"/>
    <m:wrapIndent m:val="1440"/>
    <m:intLim m:val="subSup"/>
    <m:naryLim m:val="undOvr"/>
  </m:mathPr>
  <w:themeFontLang w:val="en-SG" w:bidi="bo-CN"/>
  <w:clrSchemeMapping w:bg1="light1" w:t1="dark1" w:bg2="light2" w:t2="dark2" w:accent1="accent1" w:accent2="accent2" w:accent3="accent3" w:accent4="accent4" w:accent5="accent5" w:accent6="accent6" w:hyperlink="hyperlink" w:followedHyperlink="followedHyperlink"/>
  <w:decimalSymbol w:val="."/>
  <w:listSeparator w:val=","/>
  <w14:docId w14:val="78257F66"/>
  <w15:docId w15:val="{648586EC-A956-5A49-A9D6-953B02BDD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4"/>
        <w:lang w:val="en-SG" w:eastAsia="en-US" w:bidi="bo-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cs="Arial Unicode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17A3"/>
    <w:pPr>
      <w:ind w:left="720"/>
      <w:contextualSpacing/>
    </w:pPr>
  </w:style>
  <w:style w:type="character" w:styleId="HTMLCite">
    <w:name w:val="HTML Cite"/>
    <w:basedOn w:val="DefaultParagraphFont"/>
    <w:uiPriority w:val="99"/>
    <w:semiHidden/>
    <w:unhideWhenUsed/>
    <w:rsid w:val="00C8119E"/>
    <w:rPr>
      <w:i/>
      <w:iCs/>
    </w:rPr>
  </w:style>
  <w:style w:type="character" w:customStyle="1" w:styleId="cs1-lock-registration">
    <w:name w:val="cs1-lock-registration"/>
    <w:basedOn w:val="DefaultParagraphFont"/>
    <w:rsid w:val="00C8119E"/>
  </w:style>
  <w:style w:type="character" w:styleId="Hyperlink">
    <w:name w:val="Hyperlink"/>
    <w:basedOn w:val="DefaultParagraphFont"/>
    <w:uiPriority w:val="99"/>
    <w:semiHidden/>
    <w:unhideWhenUsed/>
    <w:rsid w:val="00C8119E"/>
    <w:rPr>
      <w:color w:val="0000FF"/>
      <w:u w:val="single"/>
    </w:rPr>
  </w:style>
  <w:style w:type="paragraph" w:styleId="Header">
    <w:name w:val="header"/>
    <w:basedOn w:val="Normal"/>
    <w:link w:val="HeaderChar"/>
    <w:uiPriority w:val="99"/>
    <w:unhideWhenUsed/>
    <w:rsid w:val="006027D1"/>
    <w:pPr>
      <w:tabs>
        <w:tab w:val="center" w:pos="4513"/>
        <w:tab w:val="right" w:pos="9026"/>
      </w:tabs>
    </w:pPr>
  </w:style>
  <w:style w:type="character" w:customStyle="1" w:styleId="HeaderChar">
    <w:name w:val="Header Char"/>
    <w:basedOn w:val="DefaultParagraphFont"/>
    <w:link w:val="Header"/>
    <w:uiPriority w:val="99"/>
    <w:rsid w:val="006027D1"/>
    <w:rPr>
      <w:rFonts w:eastAsiaTheme="minorEastAsia" w:cs="Arial Unicode MS"/>
    </w:rPr>
  </w:style>
  <w:style w:type="character" w:styleId="PageNumber">
    <w:name w:val="page number"/>
    <w:basedOn w:val="DefaultParagraphFont"/>
    <w:uiPriority w:val="99"/>
    <w:semiHidden/>
    <w:unhideWhenUsed/>
    <w:rsid w:val="006027D1"/>
  </w:style>
  <w:style w:type="paragraph" w:styleId="Footer">
    <w:name w:val="footer"/>
    <w:basedOn w:val="Normal"/>
    <w:link w:val="FooterChar"/>
    <w:uiPriority w:val="99"/>
    <w:unhideWhenUsed/>
    <w:rsid w:val="006027D1"/>
    <w:pPr>
      <w:tabs>
        <w:tab w:val="center" w:pos="4513"/>
        <w:tab w:val="right" w:pos="9026"/>
      </w:tabs>
    </w:pPr>
  </w:style>
  <w:style w:type="character" w:customStyle="1" w:styleId="FooterChar">
    <w:name w:val="Footer Char"/>
    <w:basedOn w:val="DefaultParagraphFont"/>
    <w:link w:val="Footer"/>
    <w:uiPriority w:val="99"/>
    <w:rsid w:val="006027D1"/>
    <w:rPr>
      <w:rFonts w:eastAsiaTheme="minorEastAsia" w:cs="Arial Unicode MS"/>
    </w:rPr>
  </w:style>
  <w:style w:type="paragraph" w:styleId="FootnoteText">
    <w:name w:val="footnote text"/>
    <w:basedOn w:val="Normal"/>
    <w:link w:val="FootnoteTextChar"/>
    <w:uiPriority w:val="99"/>
    <w:semiHidden/>
    <w:unhideWhenUsed/>
    <w:rsid w:val="004D3947"/>
    <w:rPr>
      <w:sz w:val="20"/>
      <w:szCs w:val="29"/>
    </w:rPr>
  </w:style>
  <w:style w:type="character" w:customStyle="1" w:styleId="FootnoteTextChar">
    <w:name w:val="Footnote Text Char"/>
    <w:basedOn w:val="DefaultParagraphFont"/>
    <w:link w:val="FootnoteText"/>
    <w:uiPriority w:val="99"/>
    <w:semiHidden/>
    <w:rsid w:val="004D3947"/>
    <w:rPr>
      <w:rFonts w:eastAsiaTheme="minorEastAsia" w:cs="Arial Unicode MS"/>
      <w:sz w:val="20"/>
      <w:szCs w:val="29"/>
    </w:rPr>
  </w:style>
  <w:style w:type="character" w:styleId="FootnoteReference">
    <w:name w:val="footnote reference"/>
    <w:basedOn w:val="DefaultParagraphFont"/>
    <w:uiPriority w:val="99"/>
    <w:semiHidden/>
    <w:unhideWhenUsed/>
    <w:rsid w:val="004D394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987023">
      <w:bodyDiv w:val="1"/>
      <w:marLeft w:val="0"/>
      <w:marRight w:val="0"/>
      <w:marTop w:val="0"/>
      <w:marBottom w:val="0"/>
      <w:divBdr>
        <w:top w:val="none" w:sz="0" w:space="0" w:color="auto"/>
        <w:left w:val="none" w:sz="0" w:space="0" w:color="auto"/>
        <w:bottom w:val="none" w:sz="0" w:space="0" w:color="auto"/>
        <w:right w:val="none" w:sz="0" w:space="0" w:color="auto"/>
      </w:divBdr>
    </w:div>
    <w:div w:id="438914057">
      <w:bodyDiv w:val="1"/>
      <w:marLeft w:val="0"/>
      <w:marRight w:val="0"/>
      <w:marTop w:val="0"/>
      <w:marBottom w:val="0"/>
      <w:divBdr>
        <w:top w:val="none" w:sz="0" w:space="0" w:color="auto"/>
        <w:left w:val="none" w:sz="0" w:space="0" w:color="auto"/>
        <w:bottom w:val="none" w:sz="0" w:space="0" w:color="auto"/>
        <w:right w:val="none" w:sz="0" w:space="0" w:color="auto"/>
      </w:divBdr>
    </w:div>
    <w:div w:id="821508298">
      <w:bodyDiv w:val="1"/>
      <w:marLeft w:val="0"/>
      <w:marRight w:val="0"/>
      <w:marTop w:val="0"/>
      <w:marBottom w:val="0"/>
      <w:divBdr>
        <w:top w:val="none" w:sz="0" w:space="0" w:color="auto"/>
        <w:left w:val="none" w:sz="0" w:space="0" w:color="auto"/>
        <w:bottom w:val="none" w:sz="0" w:space="0" w:color="auto"/>
        <w:right w:val="none" w:sz="0" w:space="0" w:color="auto"/>
      </w:divBdr>
    </w:div>
    <w:div w:id="1530338604">
      <w:bodyDiv w:val="1"/>
      <w:marLeft w:val="0"/>
      <w:marRight w:val="0"/>
      <w:marTop w:val="0"/>
      <w:marBottom w:val="0"/>
      <w:divBdr>
        <w:top w:val="none" w:sz="0" w:space="0" w:color="auto"/>
        <w:left w:val="none" w:sz="0" w:space="0" w:color="auto"/>
        <w:bottom w:val="none" w:sz="0" w:space="0" w:color="auto"/>
        <w:right w:val="none" w:sz="0" w:space="0" w:color="auto"/>
      </w:divBdr>
    </w:div>
    <w:div w:id="17517370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archive.org/details/empiricismsociol0000neur/page/158" TargetMode="External"/><Relationship Id="rId3" Type="http://schemas.openxmlformats.org/officeDocument/2006/relationships/settings" Target="settings.xml"/><Relationship Id="rId7" Type="http://schemas.openxmlformats.org/officeDocument/2006/relationships/hyperlink" Target="https://archive.org/details/empiricismsociol0000neur/page/158"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15</Pages>
  <Words>5279</Words>
  <Characters>30093</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 Lazar Garfield</dc:creator>
  <cp:keywords/>
  <dc:description/>
  <cp:lastModifiedBy>Jay Lazar Garfield</cp:lastModifiedBy>
  <cp:revision>4</cp:revision>
  <cp:lastPrinted>2022-06-27T15:43:00Z</cp:lastPrinted>
  <dcterms:created xsi:type="dcterms:W3CDTF">2022-06-30T18:11:00Z</dcterms:created>
  <dcterms:modified xsi:type="dcterms:W3CDTF">2022-07-09T19:03:00Z</dcterms:modified>
</cp:coreProperties>
</file>